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480"/>
      </w:tblGrid>
      <w:tr w:rsidR="00000000">
        <w:trPr>
          <w:divId w:val="1995644536"/>
          <w:tblCellSpacing w:w="0" w:type="dxa"/>
          <w:jc w:val="center"/>
        </w:trPr>
        <w:tc>
          <w:tcPr>
            <w:tcW w:w="0" w:type="auto"/>
            <w:vAlign w:val="center"/>
          </w:tcPr>
          <w:p w:rsidR="00000000" w:rsidRDefault="000C5F26">
            <w:pPr>
              <w:divId w:val="1548252092"/>
              <w:rPr>
                <w:sz w:val="24"/>
                <w:szCs w:val="24"/>
              </w:rPr>
            </w:pPr>
            <w:r>
              <w:t xml:space="preserve">   </w:t>
            </w:r>
          </w:p>
          <w:p w:rsidR="00000000" w:rsidRDefault="000C5F26">
            <w:pPr>
              <w:jc w:val="both"/>
              <w:divId w:val="1548252092"/>
              <w:rPr>
                <w:rFonts w:ascii="Arial" w:hAnsi="Arial" w:cs="Arial"/>
                <w:lang w:val="pt-BR"/>
              </w:rPr>
            </w:pPr>
          </w:p>
          <w:p w:rsidR="00000000" w:rsidRDefault="000C5F26">
            <w:pPr>
              <w:jc w:val="center"/>
              <w:divId w:val="1548252092"/>
              <w:rPr>
                <w:rFonts w:ascii="Arial" w:hAnsi="Arial" w:cs="Arial"/>
                <w:b/>
                <w:sz w:val="32"/>
              </w:rPr>
            </w:pPr>
            <w:r>
              <w:rPr>
                <w:rFonts w:ascii="Arial" w:hAnsi="Arial" w:cs="Arial"/>
                <w:b/>
                <w:sz w:val="32"/>
                <w:lang w:val="pt-BR"/>
              </w:rPr>
              <w:t>CORTE SUPREMA DE JUSTICIA</w:t>
            </w:r>
          </w:p>
          <w:p w:rsidR="00000000" w:rsidRDefault="000C5F26">
            <w:pPr>
              <w:jc w:val="center"/>
              <w:divId w:val="1548252092"/>
              <w:rPr>
                <w:rFonts w:ascii="Arial" w:hAnsi="Arial" w:cs="Arial"/>
                <w:b/>
                <w:sz w:val="32"/>
              </w:rPr>
            </w:pPr>
            <w:r>
              <w:rPr>
                <w:rFonts w:ascii="Arial" w:hAnsi="Arial" w:cs="Arial"/>
                <w:b/>
                <w:sz w:val="32"/>
              </w:rPr>
              <w:t>SALA DE CASACIÓN CIVIL</w:t>
            </w:r>
          </w:p>
          <w:p w:rsidR="00000000" w:rsidRDefault="000C5F26">
            <w:pPr>
              <w:jc w:val="both"/>
              <w:divId w:val="1548252092"/>
              <w:rPr>
                <w:rFonts w:ascii="Arial" w:hAnsi="Arial" w:cs="Arial"/>
              </w:rPr>
            </w:pPr>
          </w:p>
          <w:p w:rsidR="00000000" w:rsidRDefault="000C5F26">
            <w:pPr>
              <w:jc w:val="both"/>
              <w:divId w:val="1548252092"/>
              <w:rPr>
                <w:rFonts w:ascii="Arial" w:hAnsi="Arial" w:cs="Arial"/>
                <w:b/>
                <w:sz w:val="24"/>
              </w:rPr>
            </w:pPr>
          </w:p>
          <w:p w:rsidR="00000000" w:rsidRDefault="000C5F26">
            <w:pPr>
              <w:jc w:val="both"/>
              <w:divId w:val="1548252092"/>
              <w:rPr>
                <w:rFonts w:ascii="Arial" w:hAnsi="Arial" w:cs="Arial"/>
                <w:b/>
                <w:sz w:val="24"/>
              </w:rPr>
            </w:pPr>
          </w:p>
          <w:p w:rsidR="00000000" w:rsidRDefault="000C5F26">
            <w:pPr>
              <w:jc w:val="both"/>
              <w:divId w:val="1548252092"/>
              <w:rPr>
                <w:rFonts w:ascii="Arial" w:hAnsi="Arial" w:cs="Arial"/>
                <w:b/>
                <w:sz w:val="24"/>
              </w:rPr>
            </w:pPr>
          </w:p>
          <w:p w:rsidR="00000000" w:rsidRDefault="000C5F26">
            <w:pPr>
              <w:jc w:val="both"/>
              <w:divId w:val="1548252092"/>
              <w:rPr>
                <w:rFonts w:ascii="Arial" w:hAnsi="Arial" w:cs="Arial"/>
                <w:b/>
                <w:sz w:val="24"/>
              </w:rPr>
            </w:pPr>
            <w:r>
              <w:rPr>
                <w:rFonts w:ascii="Arial" w:hAnsi="Arial" w:cs="Arial"/>
                <w:b/>
                <w:sz w:val="24"/>
              </w:rPr>
              <w:t>Bogotá, D. C., dos (2) de mayo de dos mil dieciséis (2016).</w:t>
            </w:r>
          </w:p>
          <w:p w:rsidR="00000000" w:rsidRDefault="000C5F26">
            <w:pPr>
              <w:jc w:val="both"/>
              <w:divId w:val="1548252092"/>
              <w:rPr>
                <w:rFonts w:ascii="Arial" w:hAnsi="Arial" w:cs="Arial"/>
                <w:b/>
                <w:sz w:val="24"/>
              </w:rPr>
            </w:pPr>
            <w:r>
              <w:rPr>
                <w:rFonts w:ascii="Arial" w:hAnsi="Arial" w:cs="Arial"/>
                <w:b/>
                <w:sz w:val="24"/>
              </w:rPr>
              <w:t xml:space="preserve">Radicación n.° </w:t>
            </w:r>
            <w:r>
              <w:rPr>
                <w:rFonts w:ascii="Arial" w:hAnsi="Arial" w:cs="Arial"/>
                <w:b/>
                <w:color w:val="FF0000"/>
                <w:sz w:val="24"/>
              </w:rPr>
              <w:t>54001-22-21-000-2016-00039-01</w:t>
            </w:r>
          </w:p>
          <w:p w:rsidR="00000000" w:rsidRDefault="000C5F26">
            <w:pPr>
              <w:jc w:val="both"/>
              <w:divId w:val="1548252092"/>
              <w:rPr>
                <w:rFonts w:ascii="Arial" w:hAnsi="Arial" w:cs="Arial"/>
                <w:b/>
                <w:sz w:val="24"/>
              </w:rPr>
            </w:pPr>
            <w:r>
              <w:rPr>
                <w:rFonts w:ascii="Arial" w:hAnsi="Arial" w:cs="Arial"/>
                <w:b/>
                <w:sz w:val="24"/>
              </w:rPr>
              <w:t>STC5551-2016</w:t>
            </w:r>
          </w:p>
          <w:p w:rsidR="00000000" w:rsidRDefault="000C5F26">
            <w:pPr>
              <w:tabs>
                <w:tab w:val="left" w:pos="142"/>
              </w:tabs>
              <w:overflowPunct w:val="0"/>
              <w:autoSpaceDE w:val="0"/>
              <w:autoSpaceDN w:val="0"/>
              <w:adjustRightInd w:val="0"/>
              <w:jc w:val="both"/>
              <w:divId w:val="1548252092"/>
              <w:rPr>
                <w:rFonts w:ascii="Arial" w:hAnsi="Arial" w:cs="Arial"/>
                <w:b/>
                <w:sz w:val="24"/>
                <w:lang w:val="es-CO"/>
              </w:rPr>
            </w:pPr>
            <w:r>
              <w:rPr>
                <w:rFonts w:ascii="Arial" w:hAnsi="Arial" w:cs="Arial"/>
                <w:b/>
                <w:sz w:val="24"/>
                <w:lang w:val="es-CO"/>
              </w:rPr>
              <w:t>(Aprobado en sesión de veintisiete de abril de dos mil dieciséis)</w:t>
            </w:r>
          </w:p>
          <w:p w:rsidR="00000000" w:rsidRDefault="000C5F26">
            <w:pPr>
              <w:jc w:val="both"/>
              <w:divId w:val="1548252092"/>
              <w:rPr>
                <w:rFonts w:ascii="Arial" w:hAnsi="Arial" w:cs="Arial"/>
                <w:b/>
                <w:sz w:val="24"/>
              </w:rPr>
            </w:pPr>
            <w:r>
              <w:rPr>
                <w:rFonts w:ascii="Arial" w:hAnsi="Arial" w:cs="Arial"/>
                <w:b/>
                <w:sz w:val="24"/>
              </w:rPr>
              <w:t>LUIS ARMANDO TOLOSA VILLABONA</w:t>
            </w:r>
          </w:p>
          <w:p w:rsidR="00000000" w:rsidRDefault="000C5F26">
            <w:pPr>
              <w:jc w:val="both"/>
              <w:divId w:val="1548252092"/>
              <w:rPr>
                <w:rFonts w:ascii="Arial" w:hAnsi="Arial" w:cs="Arial"/>
                <w:b/>
                <w:sz w:val="24"/>
              </w:rPr>
            </w:pPr>
            <w:r>
              <w:rPr>
                <w:rFonts w:ascii="Arial" w:hAnsi="Arial" w:cs="Arial"/>
                <w:b/>
                <w:sz w:val="24"/>
              </w:rPr>
              <w:t>Magistrado ponente</w:t>
            </w:r>
          </w:p>
          <w:p w:rsidR="00000000" w:rsidRDefault="000C5F26">
            <w:pPr>
              <w:tabs>
                <w:tab w:val="left" w:pos="1985"/>
              </w:tabs>
              <w:jc w:val="both"/>
              <w:divId w:val="1548252092"/>
              <w:rPr>
                <w:rFonts w:ascii="Arial" w:hAnsi="Arial" w:cs="Arial"/>
              </w:rPr>
            </w:pPr>
          </w:p>
          <w:p w:rsidR="00000000" w:rsidRDefault="000C5F26">
            <w:pPr>
              <w:tabs>
                <w:tab w:val="left" w:pos="142"/>
              </w:tabs>
              <w:jc w:val="both"/>
              <w:divId w:val="1548252092"/>
              <w:rPr>
                <w:rFonts w:ascii="Arial" w:hAnsi="Arial" w:cs="Arial"/>
                <w:lang w:val="es-CO"/>
              </w:rPr>
            </w:pPr>
          </w:p>
          <w:p w:rsidR="00000000" w:rsidRDefault="000C5F26">
            <w:pPr>
              <w:tabs>
                <w:tab w:val="left" w:pos="142"/>
              </w:tabs>
              <w:jc w:val="both"/>
              <w:divId w:val="1548252092"/>
              <w:rPr>
                <w:rFonts w:ascii="Arial" w:hAnsi="Arial" w:cs="Arial"/>
                <w:lang w:val="es-CO"/>
              </w:rPr>
            </w:pPr>
          </w:p>
          <w:p w:rsidR="00000000" w:rsidRDefault="000C5F26">
            <w:pPr>
              <w:pStyle w:val="Sangradetextonormal"/>
              <w:spacing w:line="240" w:lineRule="auto"/>
              <w:ind w:firstLine="0"/>
              <w:divId w:val="1548252092"/>
              <w:rPr>
                <w:rFonts w:ascii="Arial" w:hAnsi="Arial" w:cs="Arial"/>
                <w:sz w:val="20"/>
              </w:rPr>
            </w:pPr>
            <w:r>
              <w:rPr>
                <w:rFonts w:ascii="Arial" w:hAnsi="Arial" w:cs="Arial"/>
                <w:sz w:val="20"/>
                <w:lang w:val="es-CO"/>
              </w:rPr>
              <w:t>Decídese la impugnación interpuesta frente a la sentencia de 9 de marzo de 2016 dictada por la Sala Civil Especializada en Restitución de Tierras</w:t>
            </w:r>
            <w:r>
              <w:rPr>
                <w:rFonts w:ascii="Arial" w:hAnsi="Arial" w:cs="Arial"/>
                <w:sz w:val="20"/>
              </w:rPr>
              <w:t xml:space="preserve"> del Tribunal Superior del Distrito Judicial de Cúcuta, den</w:t>
            </w:r>
            <w:r>
              <w:rPr>
                <w:rFonts w:ascii="Arial" w:hAnsi="Arial" w:cs="Arial"/>
                <w:sz w:val="20"/>
              </w:rPr>
              <w:t xml:space="preserve">tro de la acción de tutela instaurada por Carlos Eduardo Daza Segura en contra de la Dirección de Sanidad del Ejército Nacional y el Grupo Mecanizado </w:t>
            </w:r>
            <w:r>
              <w:rPr>
                <w:rFonts w:ascii="Arial" w:hAnsi="Arial" w:cs="Arial"/>
                <w:sz w:val="20"/>
              </w:rPr>
              <w:t xml:space="preserve">Nº 5 </w:t>
            </w:r>
            <w:r>
              <w:rPr>
                <w:rFonts w:ascii="Arial" w:hAnsi="Arial" w:cs="Arial"/>
                <w:sz w:val="20"/>
              </w:rPr>
              <w:t></w:t>
            </w:r>
            <w:r>
              <w:rPr>
                <w:rFonts w:ascii="Arial" w:hAnsi="Arial" w:cs="Arial"/>
                <w:sz w:val="20"/>
              </w:rPr>
              <w:t>Gr.</w:t>
            </w:r>
            <w:r>
              <w:rPr>
                <w:rFonts w:ascii="Arial" w:hAnsi="Arial" w:cs="Arial"/>
                <w:sz w:val="20"/>
              </w:rPr>
              <w:t xml:space="preserve"> Hermógenes </w:t>
            </w:r>
            <w:r>
              <w:rPr>
                <w:rFonts w:ascii="Arial" w:hAnsi="Arial" w:cs="Arial"/>
                <w:sz w:val="20"/>
              </w:rPr>
              <w:t>Maza</w:t>
            </w:r>
            <w:r>
              <w:rPr>
                <w:rFonts w:ascii="Arial" w:hAnsi="Arial" w:cs="Arial"/>
                <w:sz w:val="20"/>
              </w:rPr>
              <w:t></w:t>
            </w:r>
            <w:r>
              <w:rPr>
                <w:rFonts w:ascii="Arial" w:hAnsi="Arial" w:cs="Arial"/>
                <w:sz w:val="20"/>
              </w:rPr>
              <w:t>, extensiva al Establecimiento de Sanidad</w:t>
            </w:r>
            <w:r>
              <w:rPr>
                <w:rFonts w:ascii="Arial" w:hAnsi="Arial" w:cs="Arial"/>
                <w:sz w:val="20"/>
              </w:rPr>
              <w:t xml:space="preserve"> Militar de Norte de Santander, al Coma</w:t>
            </w:r>
            <w:r>
              <w:rPr>
                <w:rFonts w:ascii="Arial" w:hAnsi="Arial" w:cs="Arial"/>
                <w:sz w:val="20"/>
              </w:rPr>
              <w:t xml:space="preserve">ndante de la Base Militar PS4 y a los </w:t>
            </w:r>
            <w:r>
              <w:rPr>
                <w:rFonts w:ascii="Arial" w:hAnsi="Arial" w:cs="Arial"/>
                <w:sz w:val="20"/>
              </w:rPr>
              <w:t xml:space="preserve">Batallones de Artillería N° 30 </w:t>
            </w:r>
            <w:r>
              <w:rPr>
                <w:rFonts w:ascii="Arial" w:hAnsi="Arial" w:cs="Arial"/>
                <w:sz w:val="20"/>
              </w:rPr>
              <w:t></w:t>
            </w:r>
            <w:r>
              <w:rPr>
                <w:rFonts w:ascii="Arial" w:hAnsi="Arial" w:cs="Arial"/>
                <w:sz w:val="20"/>
              </w:rPr>
              <w:t>Batalla de C</w:t>
            </w:r>
            <w:r>
              <w:rPr>
                <w:rFonts w:ascii="Arial" w:hAnsi="Arial" w:cs="Arial"/>
                <w:sz w:val="20"/>
              </w:rPr>
              <w:t>ú</w:t>
            </w:r>
            <w:r>
              <w:rPr>
                <w:rFonts w:ascii="Arial" w:hAnsi="Arial" w:cs="Arial"/>
                <w:sz w:val="20"/>
              </w:rPr>
              <w:t>cuta</w:t>
            </w:r>
            <w:r>
              <w:rPr>
                <w:rFonts w:ascii="Arial" w:hAnsi="Arial" w:cs="Arial"/>
                <w:sz w:val="20"/>
              </w:rPr>
              <w:t></w:t>
            </w:r>
            <w:r>
              <w:rPr>
                <w:rFonts w:ascii="Arial" w:hAnsi="Arial" w:cs="Arial"/>
                <w:sz w:val="20"/>
              </w:rPr>
              <w:t xml:space="preserve"> y de Ingenieros N</w:t>
            </w:r>
            <w:r>
              <w:rPr>
                <w:rFonts w:ascii="Arial" w:hAnsi="Arial" w:cs="Arial"/>
                <w:sz w:val="20"/>
              </w:rPr>
              <w:t>°</w:t>
            </w:r>
            <w:r>
              <w:rPr>
                <w:rFonts w:ascii="Arial" w:hAnsi="Arial" w:cs="Arial"/>
                <w:sz w:val="20"/>
              </w:rPr>
              <w:t xml:space="preserve"> 30 </w:t>
            </w:r>
            <w:r>
              <w:rPr>
                <w:rFonts w:ascii="Arial" w:hAnsi="Arial" w:cs="Arial"/>
                <w:sz w:val="20"/>
              </w:rPr>
              <w:t></w:t>
            </w:r>
            <w:r>
              <w:rPr>
                <w:rFonts w:ascii="Arial" w:hAnsi="Arial" w:cs="Arial"/>
                <w:sz w:val="20"/>
              </w:rPr>
              <w:t>Coronel</w:t>
            </w:r>
            <w:r>
              <w:rPr>
                <w:rFonts w:ascii="Arial" w:hAnsi="Arial" w:cs="Arial"/>
                <w:sz w:val="20"/>
              </w:rPr>
              <w:t xml:space="preserve"> </w:t>
            </w:r>
            <w:r>
              <w:rPr>
                <w:rFonts w:ascii="Arial" w:hAnsi="Arial" w:cs="Arial"/>
                <w:sz w:val="20"/>
              </w:rPr>
              <w:t>José Alberto Salazar Arana</w:t>
            </w:r>
            <w:r>
              <w:rPr>
                <w:rFonts w:ascii="Arial" w:hAnsi="Arial" w:cs="Arial"/>
                <w:sz w:val="20"/>
              </w:rPr>
              <w:t></w:t>
            </w:r>
          </w:p>
          <w:p w:rsidR="00000000" w:rsidRDefault="000C5F26">
            <w:pPr>
              <w:pStyle w:val="Sangradetextonormal"/>
              <w:spacing w:line="240" w:lineRule="auto"/>
              <w:ind w:firstLine="0"/>
              <w:divId w:val="1548252092"/>
              <w:rPr>
                <w:rFonts w:ascii="Arial" w:hAnsi="Arial" w:cs="Arial"/>
                <w:sz w:val="20"/>
              </w:rPr>
            </w:pPr>
          </w:p>
          <w:p w:rsidR="00000000" w:rsidRDefault="000C5F26">
            <w:pPr>
              <w:pStyle w:val="Sangradetextonormal"/>
              <w:spacing w:line="240" w:lineRule="auto"/>
              <w:ind w:firstLine="0"/>
              <w:divId w:val="1548252092"/>
              <w:rPr>
                <w:rFonts w:ascii="Arial" w:hAnsi="Arial" w:cs="Arial"/>
                <w:sz w:val="20"/>
              </w:rPr>
            </w:pPr>
          </w:p>
          <w:p w:rsidR="00000000" w:rsidRDefault="000C5F26">
            <w:pPr>
              <w:numPr>
                <w:ilvl w:val="0"/>
                <w:numId w:val="4"/>
              </w:numPr>
              <w:overflowPunct w:val="0"/>
              <w:autoSpaceDE w:val="0"/>
              <w:autoSpaceDN w:val="0"/>
              <w:adjustRightInd w:val="0"/>
              <w:ind w:left="0" w:firstLine="0"/>
              <w:jc w:val="both"/>
              <w:divId w:val="1548252092"/>
              <w:rPr>
                <w:rFonts w:ascii="Arial" w:hAnsi="Arial" w:cs="Arial"/>
                <w:lang w:val="es-CO"/>
              </w:rPr>
            </w:pPr>
            <w:r>
              <w:rPr>
                <w:rFonts w:ascii="Arial" w:hAnsi="Arial" w:cs="Arial"/>
                <w:lang w:val="es-CO"/>
              </w:rPr>
              <w:t>ANTECEDENTES</w:t>
            </w:r>
          </w:p>
          <w:p w:rsidR="00000000" w:rsidRDefault="000C5F26">
            <w:pPr>
              <w:jc w:val="both"/>
              <w:divId w:val="1548252092"/>
              <w:rPr>
                <w:rFonts w:ascii="Arial" w:hAnsi="Arial" w:cs="Arial"/>
                <w:lang w:val="es-CO"/>
              </w:rPr>
            </w:pPr>
          </w:p>
          <w:p w:rsidR="00000000" w:rsidRDefault="000C5F26">
            <w:pPr>
              <w:jc w:val="both"/>
              <w:divId w:val="1548252092"/>
              <w:rPr>
                <w:rFonts w:ascii="Arial" w:hAnsi="Arial" w:cs="Arial"/>
              </w:rPr>
            </w:pPr>
            <w:r>
              <w:rPr>
                <w:rFonts w:ascii="Arial" w:hAnsi="Arial" w:cs="Arial"/>
                <w:lang w:val="es-CO"/>
              </w:rPr>
              <w:t xml:space="preserve">1. </w:t>
            </w:r>
            <w:r>
              <w:rPr>
                <w:rFonts w:ascii="Arial" w:hAnsi="Arial" w:cs="Arial"/>
              </w:rPr>
              <w:t xml:space="preserve">El promotor demanda la salvaguarda de los derechos a la salud y vida, </w:t>
            </w:r>
            <w:r>
              <w:rPr>
                <w:rFonts w:ascii="Arial" w:hAnsi="Arial" w:cs="Arial"/>
              </w:rPr>
              <w:t>presuntamente quebrantados por los querellados.</w:t>
            </w:r>
          </w:p>
          <w:p w:rsidR="00000000" w:rsidRDefault="000C5F26">
            <w:pPr>
              <w:jc w:val="both"/>
              <w:divId w:val="1548252092"/>
              <w:rPr>
                <w:rFonts w:ascii="Arial" w:hAnsi="Arial" w:cs="Arial"/>
              </w:rPr>
            </w:pPr>
          </w:p>
          <w:p w:rsidR="00000000" w:rsidRDefault="000C5F26">
            <w:pPr>
              <w:jc w:val="both"/>
              <w:divId w:val="1548252092"/>
              <w:rPr>
                <w:rFonts w:ascii="Arial" w:hAnsi="Arial" w:cs="Arial"/>
              </w:rPr>
            </w:pPr>
            <w:r>
              <w:rPr>
                <w:rFonts w:ascii="Arial" w:hAnsi="Arial" w:cs="Arial"/>
                <w:lang w:val="es-CO"/>
              </w:rPr>
              <w:t xml:space="preserve">2. Sostiene, como base de su reclamo, en síntesis, lo siguiente </w:t>
            </w:r>
            <w:r>
              <w:rPr>
                <w:rFonts w:ascii="Arial" w:hAnsi="Arial" w:cs="Arial"/>
              </w:rPr>
              <w:t>(fls. 1 y 2)</w:t>
            </w:r>
            <w:r>
              <w:rPr>
                <w:rFonts w:ascii="Arial" w:hAnsi="Arial" w:cs="Arial"/>
                <w:lang w:val="es-CO"/>
              </w:rPr>
              <w:t>:</w:t>
            </w:r>
          </w:p>
          <w:p w:rsidR="00000000" w:rsidRDefault="000C5F26">
            <w:pPr>
              <w:jc w:val="both"/>
              <w:divId w:val="1548252092"/>
              <w:rPr>
                <w:rFonts w:ascii="Arial" w:hAnsi="Arial" w:cs="Arial"/>
                <w:lang w:val="es-CO"/>
              </w:rPr>
            </w:pPr>
          </w:p>
          <w:p w:rsidR="00000000" w:rsidRDefault="000C5F26">
            <w:pPr>
              <w:jc w:val="both"/>
              <w:divId w:val="1548252092"/>
              <w:rPr>
                <w:rFonts w:ascii="Arial" w:hAnsi="Arial" w:cs="Arial"/>
              </w:rPr>
            </w:pPr>
            <w:r>
              <w:rPr>
                <w:rFonts w:ascii="Arial" w:hAnsi="Arial" w:cs="Arial"/>
              </w:rPr>
              <w:t>Carlos Eduardo Daza Segura ingresó al Batallón Mecanizado MAZA Nº 5 para prestar el servicio militar obligatorio.</w:t>
            </w:r>
          </w:p>
          <w:p w:rsidR="00000000" w:rsidRDefault="000C5F26">
            <w:pPr>
              <w:jc w:val="both"/>
              <w:divId w:val="1548252092"/>
              <w:rPr>
                <w:rFonts w:ascii="Arial" w:hAnsi="Arial" w:cs="Arial"/>
              </w:rPr>
            </w:pPr>
          </w:p>
          <w:p w:rsidR="00000000" w:rsidRDefault="000C5F26">
            <w:pPr>
              <w:jc w:val="both"/>
              <w:divId w:val="1548252092"/>
              <w:rPr>
                <w:rFonts w:ascii="Arial" w:hAnsi="Arial" w:cs="Arial"/>
              </w:rPr>
            </w:pPr>
            <w:r>
              <w:rPr>
                <w:rFonts w:ascii="Arial" w:hAnsi="Arial" w:cs="Arial"/>
              </w:rPr>
              <w:t>El 5 de junio</w:t>
            </w:r>
            <w:r>
              <w:rPr>
                <w:rFonts w:ascii="Arial" w:hAnsi="Arial" w:cs="Arial"/>
              </w:rPr>
              <w:t xml:space="preserve"> de 2014 sufrió una </w:t>
            </w:r>
            <w:r>
              <w:rPr>
                <w:rFonts w:ascii="Arial" w:hAnsi="Arial" w:cs="Arial"/>
              </w:rPr>
              <w:t></w:t>
            </w:r>
            <w:r>
              <w:rPr>
                <w:rFonts w:ascii="Arial" w:hAnsi="Arial" w:cs="Arial"/>
              </w:rPr>
              <w:t>ruptura de ligamentos</w:t>
            </w:r>
            <w:r>
              <w:rPr>
                <w:rFonts w:ascii="Arial" w:hAnsi="Arial" w:cs="Arial"/>
              </w:rPr>
              <w:t></w:t>
            </w:r>
            <w:r>
              <w:rPr>
                <w:rFonts w:ascii="Arial" w:hAnsi="Arial" w:cs="Arial"/>
              </w:rPr>
              <w:t xml:space="preserve"> </w:t>
            </w:r>
            <w:r>
              <w:rPr>
                <w:rFonts w:ascii="Arial" w:hAnsi="Arial" w:cs="Arial"/>
              </w:rPr>
              <w:t xml:space="preserve">en su pierna izquierda mientras desempeñaba </w:t>
            </w:r>
            <w:r>
              <w:rPr>
                <w:rFonts w:ascii="Arial" w:hAnsi="Arial" w:cs="Arial"/>
              </w:rPr>
              <w:t></w:t>
            </w:r>
            <w:r>
              <w:rPr>
                <w:rFonts w:ascii="Arial" w:hAnsi="Arial" w:cs="Arial"/>
              </w:rPr>
              <w:t>actividades de trote</w:t>
            </w:r>
            <w:r>
              <w:rPr>
                <w:rFonts w:ascii="Arial" w:hAnsi="Arial" w:cs="Arial"/>
              </w:rPr>
              <w:t></w:t>
            </w:r>
            <w:r>
              <w:rPr>
                <w:rFonts w:ascii="Arial" w:hAnsi="Arial" w:cs="Arial"/>
              </w:rPr>
              <w:t>;</w:t>
            </w:r>
            <w:r>
              <w:rPr>
                <w:rFonts w:ascii="Arial" w:hAnsi="Arial" w:cs="Arial"/>
              </w:rPr>
              <w:t xml:space="preserve"> posteriormente, el 7 de septiembre de 2014 sus oídos resultaron afectados, por </w:t>
            </w:r>
            <w:r>
              <w:rPr>
                <w:rFonts w:ascii="Arial" w:hAnsi="Arial" w:cs="Arial"/>
              </w:rPr>
              <w:t xml:space="preserve">el sonido ocasionado por la </w:t>
            </w:r>
            <w:r>
              <w:rPr>
                <w:rFonts w:ascii="Arial" w:hAnsi="Arial" w:cs="Arial"/>
              </w:rPr>
              <w:t></w:t>
            </w:r>
            <w:r>
              <w:rPr>
                <w:rFonts w:ascii="Arial" w:hAnsi="Arial" w:cs="Arial"/>
              </w:rPr>
              <w:t>ametralladora</w:t>
            </w:r>
            <w:r>
              <w:rPr>
                <w:rFonts w:ascii="Arial" w:hAnsi="Arial" w:cs="Arial"/>
              </w:rPr>
              <w:t></w:t>
            </w:r>
            <w:r>
              <w:rPr>
                <w:rFonts w:ascii="Arial" w:hAnsi="Arial" w:cs="Arial"/>
              </w:rPr>
              <w:t>. Sin embargo, y a pes</w:t>
            </w:r>
            <w:r>
              <w:rPr>
                <w:rFonts w:ascii="Arial" w:hAnsi="Arial" w:cs="Arial"/>
              </w:rPr>
              <w:t>ar de los</w:t>
            </w:r>
            <w:r>
              <w:rPr>
                <w:rFonts w:ascii="Arial" w:hAnsi="Arial" w:cs="Arial"/>
              </w:rPr>
              <w:t xml:space="preserve"> numerosos requerimientos elevados por el tutelante, no se le han efectuado los </w:t>
            </w:r>
            <w:r>
              <w:rPr>
                <w:rFonts w:ascii="Arial" w:hAnsi="Arial" w:cs="Arial"/>
              </w:rPr>
              <w:t></w:t>
            </w:r>
            <w:r>
              <w:rPr>
                <w:rFonts w:ascii="Arial" w:hAnsi="Arial" w:cs="Arial"/>
              </w:rPr>
              <w:t>informativos administrativos por lesiones</w:t>
            </w:r>
            <w:r>
              <w:rPr>
                <w:rFonts w:ascii="Arial" w:hAnsi="Arial" w:cs="Arial"/>
              </w:rPr>
              <w:t></w:t>
            </w:r>
            <w:r>
              <w:rPr>
                <w:rFonts w:ascii="Arial" w:hAnsi="Arial" w:cs="Arial"/>
              </w:rPr>
              <w:t>.</w:t>
            </w:r>
          </w:p>
          <w:p w:rsidR="00000000" w:rsidRDefault="000C5F26">
            <w:pPr>
              <w:jc w:val="both"/>
              <w:divId w:val="1548252092"/>
              <w:rPr>
                <w:rFonts w:ascii="Arial" w:hAnsi="Arial" w:cs="Arial"/>
              </w:rPr>
            </w:pPr>
          </w:p>
          <w:p w:rsidR="00000000" w:rsidRDefault="000C5F26">
            <w:pPr>
              <w:jc w:val="both"/>
              <w:divId w:val="1548252092"/>
              <w:rPr>
                <w:rFonts w:ascii="Arial" w:hAnsi="Arial" w:cs="Arial"/>
                <w:lang w:val="es-CO"/>
              </w:rPr>
            </w:pPr>
            <w:r>
              <w:rPr>
                <w:rFonts w:ascii="Arial" w:hAnsi="Arial" w:cs="Arial"/>
              </w:rPr>
              <w:t xml:space="preserve">Refiere que fue </w:t>
            </w:r>
            <w:r>
              <w:rPr>
                <w:rFonts w:ascii="Arial" w:hAnsi="Arial" w:cs="Arial"/>
              </w:rPr>
              <w:t></w:t>
            </w:r>
            <w:r>
              <w:rPr>
                <w:rFonts w:ascii="Arial" w:hAnsi="Arial" w:cs="Arial"/>
              </w:rPr>
              <w:t>dado de baja</w:t>
            </w:r>
            <w:r>
              <w:rPr>
                <w:rFonts w:ascii="Arial" w:hAnsi="Arial" w:cs="Arial"/>
              </w:rPr>
              <w:t></w:t>
            </w:r>
            <w:r>
              <w:rPr>
                <w:rFonts w:ascii="Arial" w:hAnsi="Arial" w:cs="Arial"/>
              </w:rPr>
              <w:t xml:space="preserve"> y, por tal motivo, no se</w:t>
            </w:r>
            <w:r>
              <w:rPr>
                <w:rFonts w:ascii="Arial" w:hAnsi="Arial" w:cs="Arial"/>
              </w:rPr>
              <w:t xml:space="preserve"> le ha prestado la atención médica indispensable para tratar sus d</w:t>
            </w:r>
            <w:r>
              <w:rPr>
                <w:rFonts w:ascii="Arial" w:hAnsi="Arial" w:cs="Arial"/>
              </w:rPr>
              <w:t xml:space="preserve">olencias, ni </w:t>
            </w:r>
            <w:r>
              <w:rPr>
                <w:rFonts w:ascii="Arial" w:hAnsi="Arial" w:cs="Arial"/>
              </w:rPr>
              <w:t xml:space="preserve">le </w:t>
            </w:r>
            <w:r>
              <w:rPr>
                <w:rFonts w:ascii="Arial" w:hAnsi="Arial" w:cs="Arial"/>
              </w:rPr>
              <w:t></w:t>
            </w:r>
            <w:r>
              <w:rPr>
                <w:rFonts w:ascii="Arial" w:hAnsi="Arial" w:cs="Arial"/>
              </w:rPr>
              <w:t>quieren realizar la junta m</w:t>
            </w:r>
            <w:r>
              <w:rPr>
                <w:rFonts w:ascii="Arial" w:hAnsi="Arial" w:cs="Arial"/>
              </w:rPr>
              <w:t>é</w:t>
            </w:r>
            <w:r>
              <w:rPr>
                <w:rFonts w:ascii="Arial" w:hAnsi="Arial" w:cs="Arial"/>
              </w:rPr>
              <w:t>dico laboral</w:t>
            </w:r>
            <w:r>
              <w:rPr>
                <w:rFonts w:ascii="Arial" w:hAnsi="Arial" w:cs="Arial"/>
              </w:rPr>
              <w:t></w:t>
            </w:r>
            <w:r>
              <w:rPr>
                <w:rFonts w:ascii="Arial" w:hAnsi="Arial" w:cs="Arial"/>
              </w:rPr>
              <w:t>.</w:t>
            </w:r>
          </w:p>
          <w:p w:rsidR="00000000" w:rsidRDefault="000C5F26">
            <w:pPr>
              <w:jc w:val="both"/>
              <w:divId w:val="1548252092"/>
              <w:rPr>
                <w:rFonts w:ascii="Arial" w:hAnsi="Arial" w:cs="Arial"/>
              </w:rPr>
            </w:pPr>
          </w:p>
          <w:p w:rsidR="00000000" w:rsidRDefault="000C5F26">
            <w:pPr>
              <w:jc w:val="both"/>
              <w:divId w:val="1548252092"/>
              <w:rPr>
                <w:rFonts w:ascii="Arial" w:hAnsi="Arial" w:cs="Arial"/>
              </w:rPr>
            </w:pPr>
            <w:r>
              <w:rPr>
                <w:rFonts w:ascii="Arial" w:hAnsi="Arial" w:cs="Arial"/>
              </w:rPr>
              <w:t>3. Implora ordenar a la accionada adelantar las gestiones para definir su situación médico laboral.</w:t>
            </w:r>
          </w:p>
          <w:p w:rsidR="00000000" w:rsidRDefault="000C5F26">
            <w:pPr>
              <w:jc w:val="both"/>
              <w:divId w:val="1548252092"/>
              <w:rPr>
                <w:rFonts w:ascii="Arial" w:hAnsi="Arial" w:cs="Arial"/>
              </w:rPr>
            </w:pPr>
          </w:p>
          <w:p w:rsidR="00000000" w:rsidRDefault="000C5F26">
            <w:pPr>
              <w:jc w:val="both"/>
              <w:divId w:val="1548252092"/>
              <w:rPr>
                <w:rFonts w:ascii="Arial" w:hAnsi="Arial" w:cs="Arial"/>
                <w:lang w:val="es-CO"/>
              </w:rPr>
            </w:pPr>
            <w:r>
              <w:rPr>
                <w:rFonts w:ascii="Arial" w:hAnsi="Arial" w:cs="Arial"/>
              </w:rPr>
              <w:t xml:space="preserve">    </w:t>
            </w:r>
            <w:r>
              <w:rPr>
                <w:rFonts w:ascii="Arial" w:hAnsi="Arial" w:cs="Arial"/>
                <w:lang w:val="es-CO"/>
              </w:rPr>
              <w:t>1.1. Respuesta de los accionados y vinculados</w:t>
            </w:r>
          </w:p>
          <w:p w:rsidR="00000000" w:rsidRDefault="000C5F26">
            <w:pPr>
              <w:jc w:val="both"/>
              <w:divId w:val="1548252092"/>
              <w:rPr>
                <w:rFonts w:ascii="Arial" w:hAnsi="Arial" w:cs="Arial"/>
                <w:lang w:val="es-CO"/>
              </w:rPr>
            </w:pPr>
          </w:p>
          <w:p w:rsidR="00000000" w:rsidRDefault="000C5F26">
            <w:pPr>
              <w:tabs>
                <w:tab w:val="left" w:pos="1080"/>
              </w:tabs>
              <w:jc w:val="both"/>
              <w:divId w:val="1548252092"/>
              <w:rPr>
                <w:rFonts w:ascii="Arial" w:hAnsi="Arial" w:cs="Arial"/>
              </w:rPr>
            </w:pPr>
            <w:r>
              <w:rPr>
                <w:rFonts w:ascii="Arial" w:hAnsi="Arial" w:cs="Arial"/>
                <w:lang w:val="es-CO"/>
              </w:rPr>
              <w:t xml:space="preserve">a. El </w:t>
            </w:r>
            <w:r>
              <w:rPr>
                <w:rFonts w:ascii="Arial" w:hAnsi="Arial" w:cs="Arial"/>
              </w:rPr>
              <w:t xml:space="preserve">Grupo Mecanizado Nº 5 </w:t>
            </w:r>
            <w:r>
              <w:rPr>
                <w:rFonts w:ascii="Arial" w:hAnsi="Arial" w:cs="Arial"/>
              </w:rPr>
              <w:t></w:t>
            </w:r>
            <w:r>
              <w:rPr>
                <w:rFonts w:ascii="Arial" w:hAnsi="Arial" w:cs="Arial"/>
              </w:rPr>
              <w:t>Gr.</w:t>
            </w:r>
            <w:r>
              <w:rPr>
                <w:rFonts w:ascii="Arial" w:hAnsi="Arial" w:cs="Arial"/>
              </w:rPr>
              <w:t xml:space="preserve"> Hermógenes</w:t>
            </w:r>
            <w:r>
              <w:rPr>
                <w:rFonts w:ascii="Arial" w:hAnsi="Arial" w:cs="Arial"/>
              </w:rPr>
              <w:t xml:space="preserve"> </w:t>
            </w:r>
            <w:r>
              <w:rPr>
                <w:rFonts w:ascii="Arial" w:hAnsi="Arial" w:cs="Arial"/>
              </w:rPr>
              <w:t>Maza</w:t>
            </w:r>
            <w:r>
              <w:rPr>
                <w:rFonts w:ascii="Arial" w:hAnsi="Arial" w:cs="Arial"/>
              </w:rPr>
              <w:t></w:t>
            </w:r>
            <w:r>
              <w:rPr>
                <w:rFonts w:ascii="Arial" w:hAnsi="Arial" w:cs="Arial"/>
              </w:rPr>
              <w:t xml:space="preserve"> explic</w:t>
            </w:r>
            <w:r>
              <w:rPr>
                <w:rFonts w:ascii="Arial" w:hAnsi="Arial" w:cs="Arial"/>
              </w:rPr>
              <w:t>ó</w:t>
            </w:r>
            <w:r>
              <w:rPr>
                <w:rFonts w:ascii="Arial" w:hAnsi="Arial" w:cs="Arial"/>
              </w:rPr>
              <w:t xml:space="preserve"> que </w:t>
            </w:r>
            <w:r>
              <w:rPr>
                <w:rFonts w:ascii="Arial" w:hAnsi="Arial" w:cs="Arial"/>
              </w:rPr>
              <w:t></w:t>
            </w:r>
            <w:r>
              <w:rPr>
                <w:rFonts w:ascii="Arial" w:hAnsi="Arial" w:cs="Arial"/>
              </w:rPr>
              <w:t>(</w:t>
            </w:r>
            <w:r>
              <w:rPr>
                <w:rFonts w:ascii="Arial" w:hAnsi="Arial" w:cs="Arial"/>
              </w:rPr>
              <w:t></w:t>
            </w:r>
            <w:r>
              <w:rPr>
                <w:rFonts w:ascii="Arial" w:hAnsi="Arial" w:cs="Arial"/>
              </w:rPr>
              <w:t>) no se tiene un registro</w:t>
            </w:r>
            <w:r>
              <w:rPr>
                <w:rFonts w:ascii="Arial" w:hAnsi="Arial" w:cs="Arial"/>
              </w:rPr>
              <w:t xml:space="preserve"> </w:t>
            </w:r>
            <w:r>
              <w:rPr>
                <w:rFonts w:ascii="Arial" w:hAnsi="Arial" w:cs="Arial"/>
              </w:rPr>
              <w:t>para demostrar que el actor hubiese sufrido algún tipo de lesión (</w:t>
            </w:r>
            <w:r>
              <w:rPr>
                <w:rFonts w:ascii="Arial" w:hAnsi="Arial" w:cs="Arial"/>
              </w:rPr>
              <w:t></w:t>
            </w:r>
            <w:r>
              <w:rPr>
                <w:rFonts w:ascii="Arial" w:hAnsi="Arial" w:cs="Arial"/>
              </w:rPr>
              <w:t>)</w:t>
            </w:r>
            <w:r>
              <w:rPr>
                <w:rFonts w:ascii="Arial" w:hAnsi="Arial" w:cs="Arial"/>
              </w:rPr>
              <w:t></w:t>
            </w:r>
            <w:r>
              <w:rPr>
                <w:rFonts w:ascii="Arial" w:hAnsi="Arial" w:cs="Arial"/>
              </w:rPr>
              <w:t>, y</w:t>
            </w:r>
            <w:r>
              <w:rPr>
                <w:rFonts w:ascii="Arial" w:hAnsi="Arial" w:cs="Arial"/>
              </w:rPr>
              <w:t xml:space="preserve"> destacó la posibilidad para el quejoso de recibir atención por parte del centro de sanidad militar de Cúcuta (fls. 34 a 38).</w:t>
            </w:r>
          </w:p>
          <w:p w:rsidR="00000000" w:rsidRDefault="000C5F26">
            <w:pPr>
              <w:tabs>
                <w:tab w:val="left" w:pos="1080"/>
              </w:tabs>
              <w:jc w:val="both"/>
              <w:divId w:val="1548252092"/>
              <w:rPr>
                <w:rFonts w:ascii="Arial" w:hAnsi="Arial" w:cs="Arial"/>
              </w:rPr>
            </w:pPr>
          </w:p>
          <w:p w:rsidR="00000000" w:rsidRDefault="000C5F26">
            <w:pPr>
              <w:tabs>
                <w:tab w:val="left" w:pos="1080"/>
              </w:tabs>
              <w:jc w:val="both"/>
              <w:divId w:val="1548252092"/>
              <w:rPr>
                <w:rFonts w:ascii="Arial" w:hAnsi="Arial" w:cs="Arial"/>
              </w:rPr>
            </w:pPr>
            <w:r>
              <w:rPr>
                <w:rFonts w:ascii="Arial" w:hAnsi="Arial" w:cs="Arial"/>
              </w:rPr>
              <w:t>b. La Dir</w:t>
            </w:r>
            <w:r>
              <w:rPr>
                <w:rFonts w:ascii="Arial" w:hAnsi="Arial" w:cs="Arial"/>
              </w:rPr>
              <w:t xml:space="preserve">ección de Sanidad Militar </w:t>
            </w:r>
            <w:r>
              <w:rPr>
                <w:rFonts w:ascii="Arial" w:hAnsi="Arial" w:cs="Arial"/>
              </w:rPr>
              <w:t xml:space="preserve">arguyó que el gestor no ha iniciado el </w:t>
            </w:r>
            <w:r>
              <w:rPr>
                <w:rFonts w:ascii="Arial" w:hAnsi="Arial" w:cs="Arial"/>
              </w:rPr>
              <w:t></w:t>
            </w:r>
            <w:r>
              <w:rPr>
                <w:rFonts w:ascii="Arial" w:hAnsi="Arial" w:cs="Arial"/>
              </w:rPr>
              <w:t>procedimiento para examen m</w:t>
            </w:r>
            <w:r>
              <w:rPr>
                <w:rFonts w:ascii="Arial" w:hAnsi="Arial" w:cs="Arial"/>
              </w:rPr>
              <w:t>é</w:t>
            </w:r>
            <w:r>
              <w:rPr>
                <w:rFonts w:ascii="Arial" w:hAnsi="Arial" w:cs="Arial"/>
              </w:rPr>
              <w:t>dico de</w:t>
            </w:r>
            <w:r>
              <w:rPr>
                <w:rFonts w:ascii="Arial" w:hAnsi="Arial" w:cs="Arial"/>
              </w:rPr>
              <w:t xml:space="preserve"> </w:t>
            </w:r>
            <w:r>
              <w:rPr>
                <w:rFonts w:ascii="Arial" w:hAnsi="Arial" w:cs="Arial"/>
              </w:rPr>
              <w:t>retiro</w:t>
            </w:r>
            <w:r>
              <w:rPr>
                <w:rFonts w:ascii="Arial" w:hAnsi="Arial" w:cs="Arial"/>
              </w:rPr>
              <w:t></w:t>
            </w:r>
            <w:r>
              <w:rPr>
                <w:rFonts w:ascii="Arial" w:hAnsi="Arial" w:cs="Arial"/>
              </w:rPr>
              <w:t xml:space="preserve"> (fls. 47 a 51).</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 xml:space="preserve">c. El </w:t>
            </w:r>
            <w:r>
              <w:rPr>
                <w:rFonts w:ascii="Arial" w:hAnsi="Arial" w:cs="Arial"/>
                <w:lang w:val="es-CO"/>
              </w:rPr>
              <w:t xml:space="preserve">Establecimiento de Sanidad adscrito al Batallón A.S.P.C. N° 30 </w:t>
            </w:r>
            <w:r>
              <w:rPr>
                <w:rFonts w:ascii="Arial" w:hAnsi="Arial" w:cs="Arial"/>
                <w:lang w:val="es-CO"/>
              </w:rPr>
              <w:t></w:t>
            </w:r>
            <w:r>
              <w:rPr>
                <w:rFonts w:ascii="Arial" w:hAnsi="Arial" w:cs="Arial"/>
                <w:lang w:val="es-CO"/>
              </w:rPr>
              <w:t>Guasimales</w:t>
            </w:r>
            <w:r>
              <w:rPr>
                <w:rFonts w:ascii="Arial" w:hAnsi="Arial" w:cs="Arial"/>
                <w:lang w:val="es-CO"/>
              </w:rPr>
              <w:t></w:t>
            </w:r>
            <w:r>
              <w:rPr>
                <w:rFonts w:ascii="Arial" w:hAnsi="Arial" w:cs="Arial"/>
                <w:lang w:val="es-CO"/>
              </w:rPr>
              <w:t xml:space="preserve"> de C</w:t>
            </w:r>
            <w:r>
              <w:rPr>
                <w:rFonts w:ascii="Arial" w:hAnsi="Arial" w:cs="Arial"/>
                <w:lang w:val="es-CO"/>
              </w:rPr>
              <w:t>ú</w:t>
            </w:r>
            <w:r>
              <w:rPr>
                <w:rFonts w:ascii="Arial" w:hAnsi="Arial" w:cs="Arial"/>
                <w:lang w:val="es-CO"/>
              </w:rPr>
              <w:t>cuta se opuso al ruego, precisando que el</w:t>
            </w:r>
            <w:r>
              <w:rPr>
                <w:rFonts w:ascii="Arial" w:hAnsi="Arial" w:cs="Arial"/>
                <w:lang w:val="es-CO"/>
              </w:rPr>
              <w:t xml:space="preserve"> </w:t>
            </w:r>
            <w:r>
              <w:rPr>
                <w:rFonts w:ascii="Arial" w:hAnsi="Arial" w:cs="Arial"/>
                <w:lang w:val="es-CO"/>
              </w:rPr>
              <w:t xml:space="preserve">tutelante </w:t>
            </w:r>
            <w:r>
              <w:rPr>
                <w:rFonts w:ascii="Arial" w:hAnsi="Arial" w:cs="Arial"/>
                <w:lang w:val="es-CO"/>
              </w:rPr>
              <w:t></w:t>
            </w:r>
            <w:r>
              <w:rPr>
                <w:rFonts w:ascii="Arial" w:hAnsi="Arial" w:cs="Arial"/>
                <w:lang w:val="es-CO"/>
              </w:rPr>
              <w:t>no se encuentra afiliado al subsistema de salud de las fuerzas</w:t>
            </w:r>
            <w:r>
              <w:rPr>
                <w:rFonts w:ascii="Arial" w:hAnsi="Arial" w:cs="Arial"/>
                <w:lang w:val="es-CO"/>
              </w:rPr>
              <w:t xml:space="preserve"> </w:t>
            </w:r>
            <w:r>
              <w:rPr>
                <w:rFonts w:ascii="Arial" w:hAnsi="Arial" w:cs="Arial"/>
                <w:lang w:val="es-CO"/>
              </w:rPr>
              <w:t>militares</w:t>
            </w:r>
            <w:r>
              <w:rPr>
                <w:rFonts w:ascii="Arial" w:hAnsi="Arial" w:cs="Arial"/>
                <w:lang w:val="es-CO"/>
              </w:rPr>
              <w:t></w:t>
            </w:r>
            <w:r>
              <w:rPr>
                <w:rFonts w:ascii="Arial" w:hAnsi="Arial" w:cs="Arial"/>
                <w:lang w:val="es-CO"/>
              </w:rPr>
              <w:t xml:space="preserve"> y deprecando su falta de competencia para definir lo ata</w:t>
            </w:r>
            <w:r>
              <w:rPr>
                <w:rFonts w:ascii="Arial" w:hAnsi="Arial" w:cs="Arial"/>
                <w:lang w:val="es-CO"/>
              </w:rPr>
              <w:t>ñ</w:t>
            </w:r>
            <w:r>
              <w:rPr>
                <w:rFonts w:ascii="Arial" w:hAnsi="Arial" w:cs="Arial"/>
                <w:lang w:val="es-CO"/>
              </w:rPr>
              <w:t>edero a la</w:t>
            </w:r>
            <w:r>
              <w:rPr>
                <w:rFonts w:ascii="Arial" w:hAnsi="Arial" w:cs="Arial"/>
                <w:lang w:val="es-CO"/>
              </w:rPr>
              <w:t xml:space="preserve"> </w:t>
            </w:r>
            <w:r>
              <w:rPr>
                <w:rFonts w:ascii="Arial" w:hAnsi="Arial" w:cs="Arial"/>
                <w:lang w:val="es-CO"/>
              </w:rPr>
              <w:t></w:t>
            </w:r>
            <w:r>
              <w:rPr>
                <w:rFonts w:ascii="Arial" w:hAnsi="Arial" w:cs="Arial"/>
                <w:lang w:val="es-CO"/>
              </w:rPr>
              <w:t>Junta M</w:t>
            </w:r>
            <w:r>
              <w:rPr>
                <w:rFonts w:ascii="Arial" w:hAnsi="Arial" w:cs="Arial"/>
                <w:lang w:val="es-CO"/>
              </w:rPr>
              <w:t>é</w:t>
            </w:r>
            <w:r>
              <w:rPr>
                <w:rFonts w:ascii="Arial" w:hAnsi="Arial" w:cs="Arial"/>
                <w:lang w:val="es-CO"/>
              </w:rPr>
              <w:t>dico Laboral</w:t>
            </w:r>
            <w:r>
              <w:rPr>
                <w:rFonts w:ascii="Arial" w:hAnsi="Arial" w:cs="Arial"/>
                <w:lang w:val="es-CO"/>
              </w:rPr>
              <w:t></w:t>
            </w:r>
            <w:r>
              <w:rPr>
                <w:rFonts w:ascii="Arial" w:hAnsi="Arial" w:cs="Arial"/>
                <w:lang w:val="es-CO"/>
              </w:rPr>
              <w:t xml:space="preserve"> pretendida (fls. 25 a 33).</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rPr>
            </w:pPr>
            <w:r>
              <w:rPr>
                <w:rFonts w:ascii="Arial" w:hAnsi="Arial" w:cs="Arial"/>
                <w:lang w:val="es-CO"/>
              </w:rPr>
              <w:t xml:space="preserve">d. El Batallón </w:t>
            </w:r>
            <w:r>
              <w:rPr>
                <w:rFonts w:ascii="Arial" w:hAnsi="Arial" w:cs="Arial"/>
              </w:rPr>
              <w:t xml:space="preserve">de Artillería N° </w:t>
            </w:r>
            <w:r>
              <w:rPr>
                <w:rFonts w:ascii="Arial" w:hAnsi="Arial" w:cs="Arial"/>
              </w:rPr>
              <w:t xml:space="preserve">30 </w:t>
            </w:r>
            <w:r>
              <w:rPr>
                <w:rFonts w:ascii="Arial" w:hAnsi="Arial" w:cs="Arial"/>
              </w:rPr>
              <w:t></w:t>
            </w:r>
            <w:r>
              <w:rPr>
                <w:rFonts w:ascii="Arial" w:hAnsi="Arial" w:cs="Arial"/>
              </w:rPr>
              <w:t>Batalla de C</w:t>
            </w:r>
            <w:r>
              <w:rPr>
                <w:rFonts w:ascii="Arial" w:hAnsi="Arial" w:cs="Arial"/>
              </w:rPr>
              <w:t>ú</w:t>
            </w:r>
            <w:r>
              <w:rPr>
                <w:rFonts w:ascii="Arial" w:hAnsi="Arial" w:cs="Arial"/>
              </w:rPr>
              <w:t>cut</w:t>
            </w:r>
            <w:r>
              <w:rPr>
                <w:rFonts w:ascii="Arial" w:hAnsi="Arial" w:cs="Arial"/>
              </w:rPr>
              <w:t>a</w:t>
            </w:r>
            <w:r>
              <w:rPr>
                <w:rFonts w:ascii="Arial" w:hAnsi="Arial" w:cs="Arial"/>
              </w:rPr>
              <w:t></w:t>
            </w:r>
            <w:r>
              <w:rPr>
                <w:rFonts w:ascii="Arial" w:hAnsi="Arial" w:cs="Arial"/>
              </w:rPr>
              <w:t xml:space="preserve"> manifest</w:t>
            </w:r>
            <w:r>
              <w:rPr>
                <w:rFonts w:ascii="Arial" w:hAnsi="Arial" w:cs="Arial"/>
              </w:rPr>
              <w:t>ó</w:t>
            </w:r>
            <w:r>
              <w:rPr>
                <w:rFonts w:ascii="Arial" w:hAnsi="Arial" w:cs="Arial"/>
              </w:rPr>
              <w:t xml:space="preserve"> </w:t>
            </w:r>
            <w:r>
              <w:rPr>
                <w:rFonts w:ascii="Arial" w:hAnsi="Arial" w:cs="Arial"/>
              </w:rPr>
              <w:t></w:t>
            </w:r>
            <w:r>
              <w:rPr>
                <w:rFonts w:ascii="Arial" w:hAnsi="Arial" w:cs="Arial"/>
              </w:rPr>
              <w:t>abstenerse de pronunciarse</w:t>
            </w:r>
            <w:r>
              <w:rPr>
                <w:rFonts w:ascii="Arial" w:hAnsi="Arial" w:cs="Arial"/>
              </w:rPr>
              <w:t></w:t>
            </w:r>
            <w:r>
              <w:rPr>
                <w:rFonts w:ascii="Arial" w:hAnsi="Arial" w:cs="Arial"/>
              </w:rPr>
              <w:t xml:space="preserve"> respecto del</w:t>
            </w:r>
            <w:r>
              <w:rPr>
                <w:rFonts w:ascii="Arial" w:hAnsi="Arial" w:cs="Arial"/>
              </w:rPr>
              <w:t xml:space="preserve"> </w:t>
            </w:r>
            <w:r>
              <w:rPr>
                <w:rFonts w:ascii="Arial" w:hAnsi="Arial" w:cs="Arial"/>
              </w:rPr>
              <w:t xml:space="preserve">presente resguardo, por cuanto el señor Daza Segura </w:t>
            </w:r>
            <w:r>
              <w:rPr>
                <w:rFonts w:ascii="Arial" w:hAnsi="Arial" w:cs="Arial"/>
              </w:rPr>
              <w:t></w:t>
            </w:r>
            <w:r>
              <w:rPr>
                <w:rFonts w:ascii="Arial" w:hAnsi="Arial" w:cs="Arial"/>
              </w:rPr>
              <w:t>no fue parte de este</w:t>
            </w:r>
            <w:r>
              <w:rPr>
                <w:rFonts w:ascii="Arial" w:hAnsi="Arial" w:cs="Arial"/>
              </w:rPr>
              <w:t xml:space="preserve"> </w:t>
            </w:r>
            <w:r>
              <w:rPr>
                <w:rFonts w:ascii="Arial" w:hAnsi="Arial" w:cs="Arial"/>
              </w:rPr>
              <w:t>Batallón</w:t>
            </w:r>
            <w:r>
              <w:rPr>
                <w:rFonts w:ascii="Arial" w:hAnsi="Arial" w:cs="Arial"/>
              </w:rPr>
              <w:t></w:t>
            </w:r>
            <w:r>
              <w:rPr>
                <w:rFonts w:ascii="Arial" w:hAnsi="Arial" w:cs="Arial"/>
              </w:rPr>
              <w:t xml:space="preserve"> (fl. 46).</w:t>
            </w:r>
          </w:p>
          <w:p w:rsidR="00000000" w:rsidRDefault="000C5F26">
            <w:pPr>
              <w:tabs>
                <w:tab w:val="left" w:pos="1080"/>
              </w:tabs>
              <w:jc w:val="both"/>
              <w:divId w:val="1548252092"/>
              <w:rPr>
                <w:rFonts w:ascii="Arial" w:hAnsi="Arial" w:cs="Arial"/>
              </w:rPr>
            </w:pPr>
          </w:p>
          <w:p w:rsidR="00000000" w:rsidRDefault="000C5F26">
            <w:pPr>
              <w:tabs>
                <w:tab w:val="left" w:pos="1080"/>
              </w:tabs>
              <w:jc w:val="both"/>
              <w:divId w:val="1548252092"/>
              <w:rPr>
                <w:rFonts w:ascii="Arial" w:hAnsi="Arial" w:cs="Arial"/>
                <w:lang w:val="es-CO"/>
              </w:rPr>
            </w:pPr>
            <w:r>
              <w:rPr>
                <w:rFonts w:ascii="Arial" w:hAnsi="Arial" w:cs="Arial"/>
                <w:lang w:val="es-CO"/>
              </w:rPr>
              <w:t>3. Los demás convocados guardaron silencio.</w:t>
            </w:r>
          </w:p>
          <w:p w:rsidR="00000000" w:rsidRDefault="000C5F26">
            <w:pPr>
              <w:tabs>
                <w:tab w:val="left" w:pos="1080"/>
              </w:tabs>
              <w:jc w:val="both"/>
              <w:divId w:val="1548252092"/>
              <w:rPr>
                <w:rFonts w:ascii="Arial" w:hAnsi="Arial" w:cs="Arial"/>
                <w:lang w:val="es-CO"/>
              </w:rPr>
            </w:pPr>
          </w:p>
          <w:p w:rsidR="00000000" w:rsidRDefault="000C5F26">
            <w:pPr>
              <w:numPr>
                <w:ilvl w:val="1"/>
                <w:numId w:val="4"/>
              </w:numPr>
              <w:overflowPunct w:val="0"/>
              <w:autoSpaceDE w:val="0"/>
              <w:autoSpaceDN w:val="0"/>
              <w:adjustRightInd w:val="0"/>
              <w:ind w:left="0" w:firstLine="0"/>
              <w:jc w:val="both"/>
              <w:divId w:val="1548252092"/>
              <w:rPr>
                <w:rFonts w:ascii="Arial" w:hAnsi="Arial" w:cs="Arial"/>
                <w:lang w:val="es-CO"/>
              </w:rPr>
            </w:pPr>
            <w:r>
              <w:rPr>
                <w:rFonts w:ascii="Arial" w:hAnsi="Arial" w:cs="Arial"/>
                <w:lang w:val="es-CO"/>
              </w:rPr>
              <w:t xml:space="preserve">La sentencia impugnada </w:t>
            </w:r>
          </w:p>
          <w:p w:rsidR="00000000" w:rsidRDefault="000C5F26">
            <w:pPr>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 xml:space="preserve">Otorgó la </w:t>
            </w:r>
            <w:r>
              <w:rPr>
                <w:rFonts w:ascii="Arial" w:hAnsi="Arial" w:cs="Arial"/>
                <w:lang w:val="es-CO"/>
              </w:rPr>
              <w:t>salvaguarda luego de inferir:</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w:t>
            </w:r>
            <w:r>
              <w:rPr>
                <w:rFonts w:ascii="Arial" w:hAnsi="Arial" w:cs="Arial"/>
                <w:lang w:val="es-CO"/>
              </w:rPr>
              <w:t>(</w:t>
            </w:r>
            <w:r>
              <w:rPr>
                <w:rFonts w:ascii="Arial" w:hAnsi="Arial" w:cs="Arial"/>
                <w:lang w:val="es-CO"/>
              </w:rPr>
              <w:t></w:t>
            </w:r>
            <w:r>
              <w:rPr>
                <w:rFonts w:ascii="Arial" w:hAnsi="Arial" w:cs="Arial"/>
                <w:lang w:val="es-CO"/>
              </w:rPr>
              <w:t>) [E]n aras</w:t>
            </w:r>
            <w:r>
              <w:rPr>
                <w:rFonts w:ascii="Arial" w:hAnsi="Arial" w:cs="Arial"/>
                <w:lang w:val="es-CO"/>
              </w:rPr>
              <w:t xml:space="preserve"> de determinar la existencia de lesiones o afecciones que disminuyan la capacidad psicofísica y que deban ser puestas en conocimiento de la Junta Médico Laboral, debe a todo soldado realizársele el examen de ret</w:t>
            </w:r>
            <w:r>
              <w:rPr>
                <w:rFonts w:ascii="Arial" w:hAnsi="Arial" w:cs="Arial"/>
                <w:lang w:val="es-CO"/>
              </w:rPr>
              <w:t xml:space="preserve">iro  </w:t>
            </w:r>
            <w:r>
              <w:rPr>
                <w:rFonts w:ascii="Arial" w:hAnsi="Arial" w:cs="Arial"/>
                <w:lang w:val="es-CO"/>
              </w:rPr>
              <w:t>(</w:t>
            </w:r>
            <w:r>
              <w:rPr>
                <w:rFonts w:ascii="Arial" w:hAnsi="Arial" w:cs="Arial"/>
                <w:lang w:val="es-CO"/>
              </w:rPr>
              <w:t></w:t>
            </w:r>
            <w:r>
              <w:rPr>
                <w:rFonts w:ascii="Arial" w:hAnsi="Arial" w:cs="Arial"/>
                <w:lang w:val="es-CO"/>
              </w:rPr>
              <w:t>) en consecuencia, (</w:t>
            </w:r>
            <w:r>
              <w:rPr>
                <w:rFonts w:ascii="Arial" w:hAnsi="Arial" w:cs="Arial"/>
                <w:lang w:val="es-CO"/>
              </w:rPr>
              <w:t></w:t>
            </w:r>
            <w:r>
              <w:rPr>
                <w:rFonts w:ascii="Arial" w:hAnsi="Arial" w:cs="Arial"/>
                <w:lang w:val="es-CO"/>
              </w:rPr>
              <w:t>) deber</w:t>
            </w:r>
            <w:r>
              <w:rPr>
                <w:rFonts w:ascii="Arial" w:hAnsi="Arial" w:cs="Arial"/>
                <w:lang w:val="es-CO"/>
              </w:rPr>
              <w:t>á</w:t>
            </w:r>
            <w:r>
              <w:rPr>
                <w:rFonts w:ascii="Arial" w:hAnsi="Arial" w:cs="Arial"/>
                <w:lang w:val="es-CO"/>
              </w:rPr>
              <w:t xml:space="preserve"> practic</w:t>
            </w:r>
            <w:r>
              <w:rPr>
                <w:rFonts w:ascii="Arial" w:hAnsi="Arial" w:cs="Arial"/>
                <w:lang w:val="es-CO"/>
              </w:rPr>
              <w:t>á</w:t>
            </w:r>
            <w:r>
              <w:rPr>
                <w:rFonts w:ascii="Arial" w:hAnsi="Arial" w:cs="Arial"/>
                <w:lang w:val="es-CO"/>
              </w:rPr>
              <w:t>rsele</w:t>
            </w:r>
            <w:r>
              <w:rPr>
                <w:rFonts w:ascii="Arial" w:hAnsi="Arial" w:cs="Arial"/>
                <w:lang w:val="es-CO"/>
              </w:rPr>
              <w:t xml:space="preserve"> </w:t>
            </w:r>
            <w:r>
              <w:rPr>
                <w:rFonts w:ascii="Arial" w:hAnsi="Arial" w:cs="Arial"/>
                <w:lang w:val="es-CO"/>
              </w:rPr>
              <w:t>al señor Carlos Eduardo Daza Segura, (</w:t>
            </w:r>
            <w:r>
              <w:rPr>
                <w:rFonts w:ascii="Arial" w:hAnsi="Arial" w:cs="Arial"/>
                <w:lang w:val="es-CO"/>
              </w:rPr>
              <w:t></w:t>
            </w:r>
            <w:r>
              <w:rPr>
                <w:rFonts w:ascii="Arial" w:hAnsi="Arial" w:cs="Arial"/>
                <w:lang w:val="es-CO"/>
              </w:rPr>
              <w:t>) por parte de la Direcci</w:t>
            </w:r>
            <w:r>
              <w:rPr>
                <w:rFonts w:ascii="Arial" w:hAnsi="Arial" w:cs="Arial"/>
                <w:lang w:val="es-CO"/>
              </w:rPr>
              <w:t>ó</w:t>
            </w:r>
            <w:r>
              <w:rPr>
                <w:rFonts w:ascii="Arial" w:hAnsi="Arial" w:cs="Arial"/>
                <w:lang w:val="es-CO"/>
              </w:rPr>
              <w:t>n de Sanidad</w:t>
            </w:r>
            <w:r>
              <w:rPr>
                <w:rFonts w:ascii="Arial" w:hAnsi="Arial" w:cs="Arial"/>
                <w:lang w:val="es-CO"/>
              </w:rPr>
              <w:t xml:space="preserve"> Militar a través del Establecimiento de Sanidad Militar del Grupo de Caballería </w:t>
            </w:r>
            <w:r>
              <w:rPr>
                <w:rFonts w:ascii="Arial" w:hAnsi="Arial" w:cs="Arial"/>
                <w:lang w:val="es-CO"/>
              </w:rPr>
              <w:t>Mecanizado MAZA N° 5, (</w:t>
            </w:r>
            <w:r>
              <w:rPr>
                <w:rFonts w:ascii="Arial" w:hAnsi="Arial" w:cs="Arial"/>
                <w:lang w:val="es-CO"/>
              </w:rPr>
              <w:t></w:t>
            </w:r>
            <w:r>
              <w:rPr>
                <w:rFonts w:ascii="Arial" w:hAnsi="Arial" w:cs="Arial"/>
                <w:lang w:val="es-CO"/>
              </w:rPr>
              <w:t>) el cual tendr</w:t>
            </w:r>
            <w:r>
              <w:rPr>
                <w:rFonts w:ascii="Arial" w:hAnsi="Arial" w:cs="Arial"/>
                <w:lang w:val="es-CO"/>
              </w:rPr>
              <w:t>á</w:t>
            </w:r>
            <w:r>
              <w:rPr>
                <w:rFonts w:ascii="Arial" w:hAnsi="Arial" w:cs="Arial"/>
                <w:lang w:val="es-CO"/>
              </w:rPr>
              <w:t xml:space="preserve"> que pr</w:t>
            </w:r>
            <w:r>
              <w:rPr>
                <w:rFonts w:ascii="Arial" w:hAnsi="Arial" w:cs="Arial"/>
                <w:lang w:val="es-CO"/>
              </w:rPr>
              <w:t>ogramarse en un tiempo no</w:t>
            </w:r>
            <w:r>
              <w:rPr>
                <w:rFonts w:ascii="Arial" w:hAnsi="Arial" w:cs="Arial"/>
                <w:lang w:val="es-CO"/>
              </w:rPr>
              <w:t xml:space="preserve"> </w:t>
            </w:r>
            <w:r>
              <w:rPr>
                <w:rFonts w:ascii="Arial" w:hAnsi="Arial" w:cs="Arial"/>
                <w:lang w:val="es-CO"/>
              </w:rPr>
              <w:t>superior a 20 días (</w:t>
            </w:r>
            <w:r>
              <w:rPr>
                <w:rFonts w:ascii="Arial" w:hAnsi="Arial" w:cs="Arial"/>
                <w:lang w:val="es-CO"/>
              </w:rPr>
              <w:t></w:t>
            </w:r>
            <w:r>
              <w:rPr>
                <w:rFonts w:ascii="Arial" w:hAnsi="Arial" w:cs="Arial"/>
                <w:lang w:val="es-CO"/>
              </w:rPr>
              <w:t>)</w:t>
            </w:r>
            <w:r>
              <w:rPr>
                <w:rFonts w:ascii="Arial" w:hAnsi="Arial" w:cs="Arial"/>
                <w:lang w:val="es-CO"/>
              </w:rPr>
              <w:t></w:t>
            </w:r>
            <w:r>
              <w:rPr>
                <w:rFonts w:ascii="Arial" w:hAnsi="Arial" w:cs="Arial"/>
                <w:lang w:val="es-CO"/>
              </w:rPr>
              <w:t>.</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 xml:space="preserve">Adicionalmente, precisó que si en las valoraciones médicas ordenadas al quejoso se le encuentra </w:t>
            </w:r>
            <w:r>
              <w:rPr>
                <w:rFonts w:ascii="Arial" w:hAnsi="Arial" w:cs="Arial"/>
                <w:lang w:val="es-CO"/>
              </w:rPr>
              <w:t></w:t>
            </w:r>
            <w:r>
              <w:rPr>
                <w:rFonts w:ascii="Arial" w:hAnsi="Arial" w:cs="Arial"/>
                <w:lang w:val="es-CO"/>
              </w:rPr>
              <w:t>alguna lesi</w:t>
            </w:r>
            <w:r>
              <w:rPr>
                <w:rFonts w:ascii="Arial" w:hAnsi="Arial" w:cs="Arial"/>
                <w:lang w:val="es-CO"/>
              </w:rPr>
              <w:t>ó</w:t>
            </w:r>
            <w:r>
              <w:rPr>
                <w:rFonts w:ascii="Arial" w:hAnsi="Arial" w:cs="Arial"/>
                <w:lang w:val="es-CO"/>
              </w:rPr>
              <w:t>n o afecci</w:t>
            </w:r>
            <w:r>
              <w:rPr>
                <w:rFonts w:ascii="Arial" w:hAnsi="Arial" w:cs="Arial"/>
                <w:lang w:val="es-CO"/>
              </w:rPr>
              <w:t>ó</w:t>
            </w:r>
            <w:r>
              <w:rPr>
                <w:rFonts w:ascii="Arial" w:hAnsi="Arial" w:cs="Arial"/>
                <w:lang w:val="es-CO"/>
              </w:rPr>
              <w:t>n</w:t>
            </w:r>
            <w:r>
              <w:rPr>
                <w:rFonts w:ascii="Arial" w:hAnsi="Arial" w:cs="Arial"/>
                <w:lang w:val="es-CO"/>
              </w:rPr>
              <w:t></w:t>
            </w:r>
            <w:r>
              <w:rPr>
                <w:rFonts w:ascii="Arial" w:hAnsi="Arial" w:cs="Arial"/>
                <w:lang w:val="es-CO"/>
              </w:rPr>
              <w:t xml:space="preserve">, es obligatorio </w:t>
            </w:r>
            <w:r>
              <w:rPr>
                <w:rFonts w:ascii="Arial" w:hAnsi="Arial" w:cs="Arial"/>
                <w:lang w:val="es-CO"/>
              </w:rPr>
              <w:t></w:t>
            </w:r>
            <w:r>
              <w:rPr>
                <w:rFonts w:ascii="Arial" w:hAnsi="Arial" w:cs="Arial"/>
                <w:lang w:val="es-CO"/>
              </w:rPr>
              <w:t>calificarlo</w:t>
            </w:r>
            <w:r>
              <w:rPr>
                <w:rFonts w:ascii="Arial" w:hAnsi="Arial" w:cs="Arial"/>
                <w:lang w:val="es-CO"/>
              </w:rPr>
              <w:t></w:t>
            </w:r>
            <w:r>
              <w:rPr>
                <w:rFonts w:ascii="Arial" w:hAnsi="Arial" w:cs="Arial"/>
                <w:lang w:val="es-CO"/>
              </w:rPr>
              <w:t xml:space="preserve"> (fls. 56 a 77).</w:t>
            </w:r>
          </w:p>
          <w:p w:rsidR="00000000" w:rsidRDefault="000C5F26">
            <w:pPr>
              <w:tabs>
                <w:tab w:val="left" w:pos="1080"/>
              </w:tabs>
              <w:jc w:val="both"/>
              <w:divId w:val="1548252092"/>
              <w:rPr>
                <w:rFonts w:ascii="Arial" w:hAnsi="Arial" w:cs="Arial"/>
              </w:rPr>
            </w:pPr>
          </w:p>
          <w:p w:rsidR="00000000" w:rsidRDefault="000C5F26">
            <w:pPr>
              <w:jc w:val="both"/>
              <w:divId w:val="1548252092"/>
              <w:rPr>
                <w:rFonts w:ascii="Arial" w:hAnsi="Arial" w:cs="Arial"/>
                <w:lang w:val="es-CO"/>
              </w:rPr>
            </w:pPr>
            <w:r>
              <w:rPr>
                <w:rFonts w:ascii="Arial" w:hAnsi="Arial" w:cs="Arial"/>
                <w:lang w:val="es-CO"/>
              </w:rPr>
              <w:t>1.3. La impugnación</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La formuló e</w:t>
            </w:r>
            <w:r>
              <w:rPr>
                <w:rFonts w:ascii="Arial" w:hAnsi="Arial" w:cs="Arial"/>
                <w:lang w:val="es-CO"/>
              </w:rPr>
              <w:t xml:space="preserve">l Establecimiento </w:t>
            </w:r>
            <w:r>
              <w:rPr>
                <w:rFonts w:ascii="Arial" w:hAnsi="Arial" w:cs="Arial"/>
                <w:lang w:val="es-CO"/>
              </w:rPr>
              <w:t xml:space="preserve">de Sanidad Militar del Batallón de A.S.P.C. N° 30 </w:t>
            </w:r>
            <w:r>
              <w:rPr>
                <w:rFonts w:ascii="Arial" w:hAnsi="Arial" w:cs="Arial"/>
                <w:lang w:val="es-CO"/>
              </w:rPr>
              <w:t></w:t>
            </w:r>
            <w:r>
              <w:rPr>
                <w:rFonts w:ascii="Arial" w:hAnsi="Arial" w:cs="Arial"/>
                <w:lang w:val="es-CO"/>
              </w:rPr>
              <w:t>Guasimales</w:t>
            </w:r>
            <w:r>
              <w:rPr>
                <w:rFonts w:ascii="Arial" w:hAnsi="Arial" w:cs="Arial"/>
                <w:lang w:val="es-CO"/>
              </w:rPr>
              <w:t></w:t>
            </w:r>
            <w:r>
              <w:rPr>
                <w:rFonts w:ascii="Arial" w:hAnsi="Arial" w:cs="Arial"/>
                <w:lang w:val="es-CO"/>
              </w:rPr>
              <w:t xml:space="preserve"> esgrimiendo:</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w:t>
            </w:r>
            <w:r>
              <w:rPr>
                <w:rFonts w:ascii="Arial" w:hAnsi="Arial" w:cs="Arial"/>
                <w:lang w:val="es-CO"/>
              </w:rPr>
              <w:t>(</w:t>
            </w:r>
            <w:r>
              <w:rPr>
                <w:rFonts w:ascii="Arial" w:hAnsi="Arial" w:cs="Arial"/>
                <w:lang w:val="es-CO"/>
              </w:rPr>
              <w:t></w:t>
            </w:r>
            <w:r>
              <w:rPr>
                <w:rFonts w:ascii="Arial" w:hAnsi="Arial" w:cs="Arial"/>
                <w:lang w:val="es-CO"/>
              </w:rPr>
              <w:t>) [E]l</w:t>
            </w:r>
            <w:r>
              <w:rPr>
                <w:rFonts w:ascii="Arial" w:hAnsi="Arial" w:cs="Arial"/>
                <w:lang w:val="es-CO"/>
              </w:rPr>
              <w:t xml:space="preserve"> accionante cuenta con un término de 60 días siguientes a la notificación del presente (sic), para radicar en la Sección de Medicina Laboral Subsección </w:t>
            </w:r>
            <w:r>
              <w:rPr>
                <w:rFonts w:ascii="Arial" w:hAnsi="Arial" w:cs="Arial"/>
                <w:lang w:val="es-CO"/>
              </w:rPr>
              <w:t>Retiros, el pliego de antecedentes o ficha médica de retiro, debidamente diligenciada en cualquier establecimiento de sanidad. Cabe advertir que el anterior proceso, incluyendo obtención de conceptos médicos y programación de junta médico laboral, si el ca</w:t>
            </w:r>
            <w:r>
              <w:rPr>
                <w:rFonts w:ascii="Arial" w:hAnsi="Arial" w:cs="Arial"/>
                <w:lang w:val="es-CO"/>
              </w:rPr>
              <w:t xml:space="preserve">so lo amerita, debe surtirse dentro del año siguiente a la fecha de su novedad fiscal de retiro, proceso que no ha iniciado el accionante y pretende que por medio de esta acción de tutela se lleve a cabo </w:t>
            </w:r>
            <w:r>
              <w:rPr>
                <w:rFonts w:ascii="Arial" w:hAnsi="Arial" w:cs="Arial"/>
                <w:lang w:val="es-CO"/>
              </w:rPr>
              <w:t>(</w:t>
            </w:r>
            <w:r>
              <w:rPr>
                <w:rFonts w:ascii="Arial" w:hAnsi="Arial" w:cs="Arial"/>
                <w:lang w:val="es-CO"/>
              </w:rPr>
              <w:t></w:t>
            </w:r>
            <w:r>
              <w:rPr>
                <w:rFonts w:ascii="Arial" w:hAnsi="Arial" w:cs="Arial"/>
                <w:lang w:val="es-CO"/>
              </w:rPr>
              <w:t>)</w:t>
            </w:r>
            <w:r>
              <w:rPr>
                <w:rFonts w:ascii="Arial" w:hAnsi="Arial" w:cs="Arial"/>
                <w:lang w:val="es-CO"/>
              </w:rPr>
              <w:t></w:t>
            </w:r>
            <w:r>
              <w:rPr>
                <w:rFonts w:ascii="Arial" w:hAnsi="Arial" w:cs="Arial"/>
                <w:lang w:val="es-CO"/>
              </w:rPr>
              <w:t xml:space="preserve"> (fls. 88 y 89).</w:t>
            </w:r>
          </w:p>
          <w:p w:rsidR="00000000" w:rsidRDefault="000C5F26">
            <w:pPr>
              <w:tabs>
                <w:tab w:val="left" w:pos="1080"/>
              </w:tabs>
              <w:jc w:val="both"/>
              <w:divId w:val="1548252092"/>
              <w:rPr>
                <w:rFonts w:ascii="Arial" w:hAnsi="Arial" w:cs="Arial"/>
                <w:lang w:val="es-CO"/>
              </w:rPr>
            </w:pPr>
            <w:r>
              <w:rPr>
                <w:rFonts w:ascii="Arial" w:hAnsi="Arial" w:cs="Arial"/>
                <w:lang w:val="es-CO"/>
              </w:rPr>
              <w:t xml:space="preserve">     </w:t>
            </w:r>
          </w:p>
          <w:p w:rsidR="00000000" w:rsidRDefault="000C5F26">
            <w:pPr>
              <w:numPr>
                <w:ilvl w:val="0"/>
                <w:numId w:val="4"/>
              </w:numPr>
              <w:overflowPunct w:val="0"/>
              <w:autoSpaceDE w:val="0"/>
              <w:autoSpaceDN w:val="0"/>
              <w:adjustRightInd w:val="0"/>
              <w:ind w:left="0" w:firstLine="0"/>
              <w:jc w:val="both"/>
              <w:divId w:val="1548252092"/>
              <w:rPr>
                <w:rFonts w:ascii="Arial" w:hAnsi="Arial" w:cs="Arial"/>
                <w:lang w:val="es-CO"/>
              </w:rPr>
            </w:pPr>
            <w:r>
              <w:rPr>
                <w:rFonts w:ascii="Arial" w:hAnsi="Arial" w:cs="Arial"/>
                <w:lang w:val="es-CO"/>
              </w:rPr>
              <w:t>CONSIDERACIONES</w:t>
            </w:r>
          </w:p>
          <w:p w:rsidR="00000000" w:rsidRDefault="000C5F26">
            <w:pPr>
              <w:jc w:val="both"/>
              <w:divId w:val="1548252092"/>
              <w:rPr>
                <w:rFonts w:ascii="Arial" w:hAnsi="Arial" w:cs="Arial"/>
                <w:lang w:val="es-CO"/>
              </w:rPr>
            </w:pPr>
          </w:p>
          <w:p w:rsidR="00000000" w:rsidRDefault="000C5F26">
            <w:pPr>
              <w:jc w:val="both"/>
              <w:divId w:val="1548252092"/>
              <w:rPr>
                <w:rFonts w:ascii="Arial" w:hAnsi="Arial" w:cs="Arial"/>
                <w:lang w:val="es-CO"/>
              </w:rPr>
            </w:pPr>
            <w:r>
              <w:rPr>
                <w:rFonts w:ascii="Arial" w:hAnsi="Arial" w:cs="Arial"/>
                <w:lang w:val="es-CO"/>
              </w:rPr>
              <w:t>1. Carlo</w:t>
            </w:r>
            <w:r>
              <w:rPr>
                <w:rFonts w:ascii="Arial" w:hAnsi="Arial" w:cs="Arial"/>
                <w:lang w:val="es-CO"/>
              </w:rPr>
              <w:t>s Eduardo Daza Segura se duele porque la Dirección de Sanidad acusada no ha adelantado las gestiones pertinentes para definir su situación médico laboral, no obstante, su desvinculación del Ejército Nacional.</w:t>
            </w:r>
          </w:p>
          <w:p w:rsidR="00000000" w:rsidRDefault="000C5F26">
            <w:pPr>
              <w:jc w:val="both"/>
              <w:divId w:val="1548252092"/>
              <w:rPr>
                <w:rFonts w:ascii="Arial" w:hAnsi="Arial" w:cs="Arial"/>
                <w:lang w:val="es-CO"/>
              </w:rPr>
            </w:pPr>
          </w:p>
          <w:p w:rsidR="00000000" w:rsidRDefault="000C5F26">
            <w:pPr>
              <w:jc w:val="both"/>
              <w:divId w:val="1548252092"/>
              <w:rPr>
                <w:rFonts w:ascii="Arial" w:hAnsi="Arial" w:cs="Arial"/>
                <w:lang w:val="es-CO"/>
              </w:rPr>
            </w:pPr>
            <w:r>
              <w:rPr>
                <w:rFonts w:ascii="Arial" w:hAnsi="Arial" w:cs="Arial"/>
                <w:lang w:val="es-CO"/>
              </w:rPr>
              <w:t xml:space="preserve">2. Delanteramente, corresponde advertir que a </w:t>
            </w:r>
            <w:r>
              <w:rPr>
                <w:rFonts w:ascii="Arial" w:hAnsi="Arial" w:cs="Arial"/>
                <w:lang w:val="es-CO"/>
              </w:rPr>
              <w:t xml:space="preserve">todo soldado debe llevársele a cabo el señalado examen médico, dentro de los dos meses siguientes a su retiro, de conformidad con lo consignado en el artículo 8 del Decreto 1796 de 2000: </w:t>
            </w:r>
          </w:p>
          <w:p w:rsidR="00000000" w:rsidRDefault="000C5F26">
            <w:pPr>
              <w:jc w:val="both"/>
              <w:divId w:val="1548252092"/>
              <w:rPr>
                <w:rFonts w:ascii="Arial" w:hAnsi="Arial" w:cs="Arial"/>
                <w:lang w:val="es-CO"/>
              </w:rPr>
            </w:pPr>
          </w:p>
          <w:p w:rsidR="00000000" w:rsidRDefault="000C5F26">
            <w:pPr>
              <w:jc w:val="both"/>
              <w:divId w:val="1548252092"/>
              <w:rPr>
                <w:rFonts w:ascii="Arial" w:hAnsi="Arial" w:cs="Arial"/>
                <w:lang w:val="es-CO"/>
              </w:rPr>
            </w:pPr>
            <w:r>
              <w:rPr>
                <w:rFonts w:ascii="Arial" w:hAnsi="Arial" w:cs="Arial"/>
                <w:lang w:val="es-CO"/>
              </w:rPr>
              <w:t></w:t>
            </w:r>
            <w:r>
              <w:rPr>
                <w:rFonts w:ascii="Arial" w:hAnsi="Arial" w:cs="Arial"/>
                <w:lang w:val="es-CO"/>
              </w:rPr>
              <w:t>(</w:t>
            </w:r>
            <w:r>
              <w:rPr>
                <w:rFonts w:ascii="Arial" w:hAnsi="Arial" w:cs="Arial"/>
                <w:lang w:val="es-CO"/>
              </w:rPr>
              <w:t></w:t>
            </w:r>
            <w:r>
              <w:rPr>
                <w:rFonts w:ascii="Arial" w:hAnsi="Arial" w:cs="Arial"/>
                <w:lang w:val="es-CO"/>
              </w:rPr>
              <w:t>) [E]</w:t>
            </w:r>
            <w:r>
              <w:rPr>
                <w:rFonts w:ascii="Arial" w:hAnsi="Arial" w:cs="Arial"/>
                <w:lang w:val="es-CO" w:eastAsia="es-CO"/>
              </w:rPr>
              <w:t>l examen para retiro tiene carácter definitivo para todos l</w:t>
            </w:r>
            <w:r>
              <w:rPr>
                <w:rFonts w:ascii="Arial" w:hAnsi="Arial" w:cs="Arial"/>
                <w:lang w:val="es-CO" w:eastAsia="es-CO"/>
              </w:rPr>
              <w:t>os efectos legales; por tanto, debe practicarse dentro de los dos (2) meses siguientes al acto administrativo que produce la novedad, siendo de carácter obligatorio en todos los casos. Cuando sin causa justificada el retirado no se presentare dentro de tal</w:t>
            </w:r>
            <w:r>
              <w:rPr>
                <w:rFonts w:ascii="Arial" w:hAnsi="Arial" w:cs="Arial"/>
                <w:lang w:val="es-CO" w:eastAsia="es-CO"/>
              </w:rPr>
              <w:t xml:space="preserve"> término, dicho examen se practicará en los Establecimientos de Sanidad Militar o de Policía por cuenta </w:t>
            </w:r>
            <w:r>
              <w:rPr>
                <w:rFonts w:ascii="Arial" w:hAnsi="Arial" w:cs="Arial"/>
                <w:lang w:val="es-CO" w:eastAsia="es-CO"/>
              </w:rPr>
              <w:t>del interesado (</w:t>
            </w:r>
            <w:r>
              <w:rPr>
                <w:rFonts w:ascii="Arial" w:hAnsi="Arial" w:cs="Arial"/>
                <w:lang w:val="es-CO" w:eastAsia="es-CO"/>
              </w:rPr>
              <w:t></w:t>
            </w:r>
            <w:r>
              <w:rPr>
                <w:rFonts w:ascii="Arial" w:hAnsi="Arial" w:cs="Arial"/>
                <w:lang w:val="es-CO" w:eastAsia="es-CO"/>
              </w:rPr>
              <w:t>)</w:t>
            </w:r>
            <w:r>
              <w:rPr>
                <w:rFonts w:ascii="Arial" w:hAnsi="Arial" w:cs="Arial"/>
                <w:lang w:val="es-CO" w:eastAsia="es-CO"/>
              </w:rPr>
              <w:t></w:t>
            </w:r>
            <w:r>
              <w:rPr>
                <w:rFonts w:ascii="Arial" w:hAnsi="Arial" w:cs="Arial"/>
                <w:lang w:val="es-CO" w:eastAsia="es-CO"/>
              </w:rPr>
              <w:t xml:space="preserve"> (subrayas de la Sala).</w:t>
            </w:r>
            <w:r>
              <w:rPr>
                <w:rFonts w:ascii="Arial" w:hAnsi="Arial" w:cs="Arial"/>
                <w:lang w:val="es-CO" w:eastAsia="es-CO"/>
              </w:rPr>
              <w:t xml:space="preserve"> </w:t>
            </w:r>
          </w:p>
          <w:p w:rsidR="00000000" w:rsidRDefault="000C5F26">
            <w:pPr>
              <w:jc w:val="both"/>
              <w:divId w:val="1548252092"/>
              <w:rPr>
                <w:rFonts w:ascii="Arial" w:hAnsi="Arial" w:cs="Arial"/>
                <w:lang w:val="es-CO"/>
              </w:rPr>
            </w:pPr>
            <w:r>
              <w:rPr>
                <w:rFonts w:ascii="Arial" w:hAnsi="Arial" w:cs="Arial"/>
                <w:lang w:val="es-CO"/>
              </w:rPr>
              <w:t xml:space="preserve"> </w:t>
            </w:r>
          </w:p>
          <w:p w:rsidR="00000000" w:rsidRDefault="000C5F26">
            <w:pPr>
              <w:jc w:val="both"/>
              <w:divId w:val="1548252092"/>
              <w:rPr>
                <w:rFonts w:ascii="Arial" w:hAnsi="Arial" w:cs="Arial"/>
                <w:lang w:val="es-CO"/>
              </w:rPr>
            </w:pPr>
            <w:r>
              <w:rPr>
                <w:rFonts w:ascii="Arial" w:hAnsi="Arial" w:cs="Arial"/>
                <w:lang w:val="es-CO"/>
              </w:rPr>
              <w:t xml:space="preserve">Al respecto, la Sala comparte lo concluido por la </w:t>
            </w:r>
            <w:r>
              <w:rPr>
                <w:rFonts w:ascii="Arial" w:hAnsi="Arial" w:cs="Arial"/>
                <w:lang w:val="es-CO"/>
              </w:rPr>
              <w:t>Corte Constitucional en sentencia T- 350 de 2010, acerca de la necesidad de realizar el examen médico de retiro a quienes se encuentren en servicio activo, indistintamente de si se trata de militares o conscriptos, a saber:</w:t>
            </w:r>
          </w:p>
          <w:p w:rsidR="00000000" w:rsidRDefault="000C5F26">
            <w:pPr>
              <w:jc w:val="both"/>
              <w:divId w:val="1548252092"/>
              <w:rPr>
                <w:rFonts w:ascii="Arial" w:hAnsi="Arial" w:cs="Arial"/>
                <w:lang w:val="es-CO"/>
              </w:rPr>
            </w:pPr>
          </w:p>
          <w:p w:rsidR="00000000" w:rsidRDefault="000C5F26">
            <w:pPr>
              <w:jc w:val="both"/>
              <w:divId w:val="1548252092"/>
              <w:rPr>
                <w:rFonts w:ascii="Arial" w:hAnsi="Arial" w:cs="Arial"/>
                <w:lang w:val="es-CO"/>
              </w:rPr>
            </w:pPr>
            <w:r>
              <w:rPr>
                <w:rFonts w:ascii="Arial" w:hAnsi="Arial" w:cs="Arial"/>
                <w:lang w:val="es-CO"/>
              </w:rPr>
              <w:t></w:t>
            </w:r>
            <w:r>
              <w:rPr>
                <w:rFonts w:ascii="Arial" w:hAnsi="Arial" w:cs="Arial"/>
                <w:lang w:val="es-CO"/>
              </w:rPr>
              <w:t>(</w:t>
            </w:r>
            <w:r>
              <w:rPr>
                <w:rFonts w:ascii="Arial" w:hAnsi="Arial" w:cs="Arial"/>
                <w:lang w:val="es-CO"/>
              </w:rPr>
              <w:t></w:t>
            </w:r>
            <w:r>
              <w:rPr>
                <w:rFonts w:ascii="Arial" w:hAnsi="Arial" w:cs="Arial"/>
                <w:lang w:val="es-CO"/>
              </w:rPr>
              <w:t>) El art</w:t>
            </w:r>
            <w:r>
              <w:rPr>
                <w:rFonts w:ascii="Arial" w:hAnsi="Arial" w:cs="Arial"/>
                <w:lang w:val="es-CO"/>
              </w:rPr>
              <w:t>í</w:t>
            </w:r>
            <w:r>
              <w:rPr>
                <w:rFonts w:ascii="Arial" w:hAnsi="Arial" w:cs="Arial"/>
                <w:lang w:val="es-CO"/>
              </w:rPr>
              <w:t xml:space="preserve">culo 8 del Decreto </w:t>
            </w:r>
            <w:r>
              <w:rPr>
                <w:rFonts w:ascii="Arial" w:hAnsi="Arial" w:cs="Arial"/>
                <w:lang w:val="es-CO"/>
              </w:rPr>
              <w:t>1796 de 2000, consagra</w:t>
            </w:r>
            <w:r>
              <w:rPr>
                <w:rFonts w:ascii="Arial" w:hAnsi="Arial" w:cs="Arial"/>
                <w:lang w:val="es-CO"/>
              </w:rPr>
              <w:t xml:space="preserve"> la obligación de practicar un examen médico de retiro a todas aquellas personas que van a ser dadas de baja del servicio militar activo, con miras a determinar si las personas que cumplieron con la labor castrense, van a ser reintegr</w:t>
            </w:r>
            <w:r>
              <w:rPr>
                <w:rFonts w:ascii="Arial" w:hAnsi="Arial" w:cs="Arial"/>
                <w:lang w:val="es-CO"/>
              </w:rPr>
              <w:t xml:space="preserve">adas a la vida civil en las óptimas condiciones de salud con las que ingresaron, o en caso contrario, para determinar el tipo de asistencia médica, quirúrgica, hospitalaria y farmacéutica que requiera mientras se logra su recuperación; obligación que para </w:t>
            </w:r>
            <w:r>
              <w:rPr>
                <w:rFonts w:ascii="Arial" w:hAnsi="Arial" w:cs="Arial"/>
                <w:lang w:val="es-CO"/>
              </w:rPr>
              <w:t xml:space="preserve">el caso es (sic) cuestión reviste capital importancia ya que el accionante había sufrido una lesión durante el tiempo de servicio, y presumiblemente con ocasión del mismo, y se le había practicado una cirugía que generó secuelas debidamente diagnosticadas </w:t>
            </w:r>
            <w:r>
              <w:rPr>
                <w:rFonts w:ascii="Arial" w:hAnsi="Arial" w:cs="Arial"/>
                <w:lang w:val="es-CO"/>
              </w:rPr>
              <w:t>que persistieron después del desacuartelamiento. Es esta omisión la que configura la vulneración de los derechos fundamentales del demandante, ya que se le negó el derecho que tiene a que se le restablezca totalmente su salud, imperativo que, reiteramos, e</w:t>
            </w:r>
            <w:r>
              <w:rPr>
                <w:rFonts w:ascii="Arial" w:hAnsi="Arial" w:cs="Arial"/>
                <w:lang w:val="es-CO"/>
              </w:rPr>
              <w:t xml:space="preserve">s responsabilidad de las Fuerzas Militares cuando un soldado en cumplimiento del </w:t>
            </w:r>
            <w:r>
              <w:rPr>
                <w:rFonts w:ascii="Arial" w:hAnsi="Arial" w:cs="Arial"/>
                <w:lang w:val="es-CO"/>
              </w:rPr>
              <w:t>servicio militar ha resultado lesionado durante la prestación del mismo (</w:t>
            </w:r>
            <w:r>
              <w:rPr>
                <w:rFonts w:ascii="Arial" w:hAnsi="Arial" w:cs="Arial"/>
                <w:lang w:val="es-CO"/>
              </w:rPr>
              <w:t></w:t>
            </w:r>
            <w:r>
              <w:rPr>
                <w:rFonts w:ascii="Arial" w:hAnsi="Arial" w:cs="Arial"/>
                <w:lang w:val="es-CO"/>
              </w:rPr>
              <w:t>)</w:t>
            </w:r>
            <w:r>
              <w:rPr>
                <w:rFonts w:ascii="Arial" w:hAnsi="Arial" w:cs="Arial"/>
                <w:lang w:val="es-CO"/>
              </w:rPr>
              <w:t></w:t>
            </w:r>
            <w:r>
              <w:rPr>
                <w:rStyle w:val="Refdenotaalpie"/>
                <w:rFonts w:ascii="Arial" w:hAnsi="Arial" w:cs="Arial"/>
                <w:lang w:val="es-CO"/>
              </w:rPr>
              <w:footnoteReference w:id="1"/>
            </w:r>
            <w:r>
              <w:rPr>
                <w:rFonts w:ascii="Arial" w:hAnsi="Arial" w:cs="Arial"/>
                <w:lang w:val="es-CO"/>
              </w:rPr>
              <w:t xml:space="preserve">. </w:t>
            </w:r>
          </w:p>
          <w:p w:rsidR="00000000" w:rsidRDefault="000C5F26">
            <w:pPr>
              <w:jc w:val="both"/>
              <w:divId w:val="1548252092"/>
              <w:rPr>
                <w:rFonts w:ascii="Arial" w:hAnsi="Arial" w:cs="Arial"/>
                <w:lang w:val="es-CO"/>
              </w:rPr>
            </w:pPr>
          </w:p>
          <w:p w:rsidR="00000000" w:rsidRDefault="000C5F26">
            <w:pPr>
              <w:jc w:val="both"/>
              <w:divId w:val="1548252092"/>
              <w:rPr>
                <w:rFonts w:ascii="Arial" w:hAnsi="Arial" w:cs="Arial"/>
                <w:spacing w:val="-3"/>
              </w:rPr>
            </w:pPr>
            <w:r>
              <w:rPr>
                <w:rFonts w:ascii="Arial" w:hAnsi="Arial" w:cs="Arial"/>
                <w:spacing w:val="-3"/>
              </w:rPr>
              <w:t>3. Por lo antelado, se hace necesario el otorgamiento del amparo, pues al gestor no se le ha efectuado la reseñada valoración médica, no obstante haber sido desvinculado de la entidad castrense desde el 30 de abril de 2015 (fl. 11), venciendo en silencio e</w:t>
            </w:r>
            <w:r>
              <w:rPr>
                <w:rFonts w:ascii="Arial" w:hAnsi="Arial" w:cs="Arial"/>
                <w:spacing w:val="-3"/>
              </w:rPr>
              <w:t>l plazo reseñado en el canon 8 del Decreto 1796 de 2000.</w:t>
            </w:r>
          </w:p>
          <w:p w:rsidR="00000000" w:rsidRDefault="000C5F26">
            <w:pPr>
              <w:jc w:val="both"/>
              <w:divId w:val="1548252092"/>
              <w:rPr>
                <w:rFonts w:ascii="Arial" w:hAnsi="Arial" w:cs="Arial"/>
                <w:spacing w:val="-3"/>
              </w:rPr>
            </w:pPr>
          </w:p>
          <w:p w:rsidR="00000000" w:rsidRDefault="000C5F26">
            <w:pPr>
              <w:jc w:val="both"/>
              <w:divId w:val="1548252092"/>
              <w:rPr>
                <w:rFonts w:ascii="Arial" w:hAnsi="Arial" w:cs="Arial"/>
                <w:spacing w:val="-3"/>
              </w:rPr>
            </w:pPr>
            <w:r>
              <w:rPr>
                <w:rFonts w:ascii="Arial" w:hAnsi="Arial" w:cs="Arial"/>
                <w:spacing w:val="-3"/>
              </w:rPr>
              <w:t>Adicionalmente, es imperioso precisar que si al señor Daza Segura se le detecta algún padecimiento como consecuencia de la actividad militar desarrollada, debe sin más dilaciones efectuársele la Jun</w:t>
            </w:r>
            <w:r>
              <w:rPr>
                <w:rFonts w:ascii="Arial" w:hAnsi="Arial" w:cs="Arial"/>
                <w:spacing w:val="-3"/>
              </w:rPr>
              <w:t>ta Médico Laboral.</w:t>
            </w:r>
          </w:p>
          <w:p w:rsidR="00000000" w:rsidRDefault="000C5F26">
            <w:pPr>
              <w:jc w:val="both"/>
              <w:divId w:val="1548252092"/>
              <w:rPr>
                <w:rFonts w:ascii="Arial" w:hAnsi="Arial" w:cs="Arial"/>
                <w:spacing w:val="-3"/>
              </w:rPr>
            </w:pPr>
          </w:p>
          <w:p w:rsidR="00000000" w:rsidRDefault="000C5F26">
            <w:pPr>
              <w:jc w:val="both"/>
              <w:divId w:val="1548252092"/>
              <w:rPr>
                <w:rFonts w:ascii="Arial" w:hAnsi="Arial" w:cs="Arial"/>
                <w:lang w:val="es-CO"/>
              </w:rPr>
            </w:pPr>
            <w:r>
              <w:rPr>
                <w:rFonts w:ascii="Arial" w:hAnsi="Arial" w:cs="Arial"/>
              </w:rPr>
              <w:t xml:space="preserve">4. </w:t>
            </w:r>
            <w:r>
              <w:rPr>
                <w:rFonts w:ascii="Arial" w:hAnsi="Arial" w:cs="Arial"/>
                <w:lang w:val="es-CO"/>
              </w:rPr>
              <w:t>Por las razones explicadas, se impone confirmar el fallo impugnado.</w:t>
            </w:r>
          </w:p>
          <w:p w:rsidR="00000000" w:rsidRDefault="000C5F26">
            <w:pPr>
              <w:tabs>
                <w:tab w:val="left" w:pos="0"/>
              </w:tabs>
              <w:jc w:val="both"/>
              <w:divId w:val="1548252092"/>
              <w:rPr>
                <w:rFonts w:ascii="Arial" w:hAnsi="Arial" w:cs="Arial"/>
                <w:lang w:val="es-CO"/>
              </w:rPr>
            </w:pPr>
          </w:p>
          <w:p w:rsidR="00000000" w:rsidRDefault="000C5F26">
            <w:pPr>
              <w:numPr>
                <w:ilvl w:val="0"/>
                <w:numId w:val="4"/>
              </w:numPr>
              <w:tabs>
                <w:tab w:val="left" w:pos="0"/>
              </w:tabs>
              <w:overflowPunct w:val="0"/>
              <w:autoSpaceDE w:val="0"/>
              <w:autoSpaceDN w:val="0"/>
              <w:adjustRightInd w:val="0"/>
              <w:ind w:left="0" w:firstLine="0"/>
              <w:jc w:val="both"/>
              <w:divId w:val="1548252092"/>
              <w:rPr>
                <w:rFonts w:ascii="Arial" w:hAnsi="Arial" w:cs="Arial"/>
                <w:lang w:val="es-CO"/>
              </w:rPr>
            </w:pPr>
            <w:r>
              <w:rPr>
                <w:rFonts w:ascii="Arial" w:hAnsi="Arial" w:cs="Arial"/>
                <w:lang w:val="es-CO"/>
              </w:rPr>
              <w:t>DECISIÓN</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 xml:space="preserve">En mérito de lo expuesto, la Corte Suprema de Justicia, en Sala de Casación Civil, administrando justicia en nombre de la República y por autoridad de la </w:t>
            </w:r>
            <w:r>
              <w:rPr>
                <w:rFonts w:ascii="Arial" w:hAnsi="Arial" w:cs="Arial"/>
                <w:lang w:val="es-CO"/>
              </w:rPr>
              <w:t>ley,</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 xml:space="preserve">RESUELVE: </w:t>
            </w:r>
          </w:p>
          <w:p w:rsidR="00000000" w:rsidRDefault="000C5F26">
            <w:pPr>
              <w:tabs>
                <w:tab w:val="left" w:pos="1080"/>
              </w:tabs>
              <w:jc w:val="both"/>
              <w:divId w:val="1548252092"/>
              <w:rPr>
                <w:rFonts w:ascii="Arial" w:hAnsi="Arial" w:cs="Arial"/>
                <w:lang w:val="es-CO"/>
              </w:rPr>
            </w:pPr>
          </w:p>
          <w:p w:rsidR="00000000" w:rsidRDefault="000C5F26">
            <w:pPr>
              <w:tabs>
                <w:tab w:val="left" w:pos="1080"/>
              </w:tabs>
              <w:jc w:val="both"/>
              <w:divId w:val="1548252092"/>
              <w:rPr>
                <w:rFonts w:ascii="Arial" w:hAnsi="Arial" w:cs="Arial"/>
                <w:lang w:val="es-CO"/>
              </w:rPr>
            </w:pPr>
            <w:r>
              <w:rPr>
                <w:rFonts w:ascii="Arial" w:hAnsi="Arial" w:cs="Arial"/>
                <w:lang w:val="es-CO"/>
              </w:rPr>
              <w:t>PRIMERO: CONFIRMAR la sentencia de fecha y lugar de procedencia anotada.</w:t>
            </w:r>
          </w:p>
          <w:p w:rsidR="00000000" w:rsidRDefault="000C5F26">
            <w:pPr>
              <w:tabs>
                <w:tab w:val="left" w:pos="1080"/>
              </w:tabs>
              <w:jc w:val="both"/>
              <w:divId w:val="1548252092"/>
              <w:rPr>
                <w:rFonts w:ascii="Arial" w:hAnsi="Arial" w:cs="Arial"/>
                <w:lang w:val="es-CO"/>
              </w:rPr>
            </w:pPr>
          </w:p>
          <w:p w:rsidR="00000000" w:rsidRDefault="000C5F26">
            <w:pPr>
              <w:pStyle w:val="Sangra3detindependiente"/>
              <w:spacing w:line="240" w:lineRule="auto"/>
              <w:ind w:firstLine="0"/>
              <w:divId w:val="1548252092"/>
              <w:rPr>
                <w:rFonts w:cs="Arial"/>
                <w:sz w:val="20"/>
                <w:lang w:val="es-CO"/>
              </w:rPr>
            </w:pPr>
            <w:r>
              <w:rPr>
                <w:rFonts w:cs="Arial"/>
                <w:sz w:val="20"/>
                <w:lang w:val="es-CO"/>
              </w:rPr>
              <w:t xml:space="preserve">SEGUNDO: Comuníquese telegráficamente lo resuelto en esta providencia a los interesados y oportunamente envíese el expediente a la Corte Constitucional para su </w:t>
            </w:r>
            <w:r>
              <w:rPr>
                <w:rFonts w:cs="Arial"/>
                <w:sz w:val="20"/>
                <w:lang w:val="es-CO"/>
              </w:rPr>
              <w:t>eventual revisión.</w:t>
            </w:r>
          </w:p>
          <w:p w:rsidR="00000000" w:rsidRDefault="000C5F26">
            <w:pPr>
              <w:pStyle w:val="Sangra3detindependiente"/>
              <w:spacing w:line="240" w:lineRule="auto"/>
              <w:ind w:firstLine="0"/>
              <w:divId w:val="1548252092"/>
              <w:rPr>
                <w:rFonts w:cs="Arial"/>
                <w:sz w:val="20"/>
                <w:lang w:val="es-CO"/>
              </w:rPr>
            </w:pPr>
          </w:p>
          <w:p w:rsidR="00000000" w:rsidRDefault="000C5F26">
            <w:pPr>
              <w:pStyle w:val="Sangra3detindependiente"/>
              <w:spacing w:line="240" w:lineRule="auto"/>
              <w:ind w:firstLine="0"/>
              <w:divId w:val="1548252092"/>
              <w:rPr>
                <w:rFonts w:cs="Arial"/>
                <w:sz w:val="20"/>
                <w:lang w:val="es-CO"/>
              </w:rPr>
            </w:pPr>
          </w:p>
          <w:p w:rsidR="00000000" w:rsidRDefault="000C5F26">
            <w:pPr>
              <w:pStyle w:val="Sangra3detindependiente"/>
              <w:spacing w:line="240" w:lineRule="auto"/>
              <w:ind w:firstLine="0"/>
              <w:divId w:val="1548252092"/>
              <w:rPr>
                <w:rFonts w:cs="Arial"/>
                <w:sz w:val="20"/>
                <w:lang w:val="es-CO"/>
              </w:rPr>
            </w:pPr>
          </w:p>
          <w:p w:rsidR="00000000" w:rsidRDefault="000C5F26">
            <w:pPr>
              <w:pStyle w:val="Sangra3detindependiente"/>
              <w:spacing w:line="240" w:lineRule="auto"/>
              <w:ind w:firstLine="0"/>
              <w:divId w:val="1548252092"/>
              <w:rPr>
                <w:rFonts w:cs="Arial"/>
                <w:sz w:val="20"/>
                <w:lang w:val="es-CO"/>
              </w:rPr>
            </w:pPr>
          </w:p>
          <w:p w:rsidR="00000000" w:rsidRDefault="000C5F26">
            <w:pPr>
              <w:jc w:val="both"/>
              <w:divId w:val="1548252092"/>
              <w:rPr>
                <w:rFonts w:ascii="Arial" w:hAnsi="Arial" w:cs="Arial"/>
                <w:lang w:val="es-CO"/>
              </w:rPr>
            </w:pPr>
            <w:r>
              <w:rPr>
                <w:rFonts w:ascii="Arial" w:hAnsi="Arial" w:cs="Arial"/>
                <w:lang w:val="es-CO"/>
              </w:rPr>
              <w:t xml:space="preserve">NOTIFÍQUESE Y CÚMPLASE </w:t>
            </w:r>
          </w:p>
          <w:p w:rsidR="00000000" w:rsidRDefault="000C5F26">
            <w:pPr>
              <w:widowControl w:val="0"/>
              <w:autoSpaceDE w:val="0"/>
              <w:autoSpaceDN w:val="0"/>
              <w:adjustRightInd w:val="0"/>
              <w:jc w:val="both"/>
              <w:divId w:val="1548252092"/>
              <w:rPr>
                <w:rFonts w:ascii="Arial" w:hAnsi="Arial" w:cs="Arial"/>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r>
              <w:rPr>
                <w:rFonts w:ascii="Arial" w:hAnsi="Arial" w:cs="Arial"/>
                <w:b/>
              </w:rPr>
              <w:t>ÁLVARO FERNANDO GARCÍA RESTREPO</w:t>
            </w:r>
          </w:p>
          <w:p w:rsidR="00000000" w:rsidRDefault="000C5F26">
            <w:pPr>
              <w:widowControl w:val="0"/>
              <w:autoSpaceDE w:val="0"/>
              <w:autoSpaceDN w:val="0"/>
              <w:adjustRightInd w:val="0"/>
              <w:jc w:val="both"/>
              <w:divId w:val="1548252092"/>
              <w:rPr>
                <w:rFonts w:ascii="Arial" w:hAnsi="Arial" w:cs="Arial"/>
                <w:b/>
              </w:rPr>
            </w:pPr>
            <w:r>
              <w:rPr>
                <w:rFonts w:ascii="Arial" w:hAnsi="Arial" w:cs="Arial"/>
                <w:b/>
              </w:rPr>
              <w:t>Presidente de Sala</w:t>
            </w: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r>
              <w:rPr>
                <w:rFonts w:ascii="Arial" w:hAnsi="Arial" w:cs="Arial"/>
                <w:b/>
              </w:rPr>
              <w:t>MARGARITA CABELLO BLANCO</w:t>
            </w: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r>
              <w:rPr>
                <w:rFonts w:ascii="Arial" w:hAnsi="Arial" w:cs="Arial"/>
                <w:b/>
              </w:rPr>
              <w:t>FERNANDO GIRALDO GUTIÉRREZ</w:t>
            </w: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r>
              <w:rPr>
                <w:rFonts w:ascii="Arial" w:hAnsi="Arial" w:cs="Arial"/>
                <w:b/>
              </w:rPr>
              <w:t>AROLDO WILSON QUIROZ MONSALVO</w:t>
            </w: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r>
              <w:rPr>
                <w:rFonts w:ascii="Arial" w:hAnsi="Arial" w:cs="Arial"/>
                <w:b/>
              </w:rPr>
              <w:t>LUIS ALONSO RICO PUERTA</w:t>
            </w: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r>
              <w:rPr>
                <w:rFonts w:ascii="Arial" w:hAnsi="Arial" w:cs="Arial"/>
                <w:b/>
              </w:rPr>
              <w:t>ARIEL SALAZAR RAMÍREZ</w:t>
            </w: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rPr>
            </w:pPr>
          </w:p>
          <w:p w:rsidR="00000000" w:rsidRDefault="000C5F26">
            <w:pPr>
              <w:widowControl w:val="0"/>
              <w:autoSpaceDE w:val="0"/>
              <w:autoSpaceDN w:val="0"/>
              <w:adjustRightInd w:val="0"/>
              <w:jc w:val="both"/>
              <w:divId w:val="1548252092"/>
              <w:rPr>
                <w:rFonts w:ascii="Arial" w:hAnsi="Arial" w:cs="Arial"/>
                <w:b/>
                <w:lang w:val="es-CO"/>
              </w:rPr>
            </w:pPr>
            <w:r>
              <w:rPr>
                <w:rFonts w:ascii="Arial" w:hAnsi="Arial" w:cs="Arial"/>
                <w:b/>
              </w:rPr>
              <w:t>LUIS ARMANDO TOLOSA VILLABONA</w:t>
            </w:r>
          </w:p>
          <w:p w:rsidR="00000000" w:rsidRDefault="000C5F26">
            <w:pPr>
              <w:tabs>
                <w:tab w:val="num" w:pos="284"/>
              </w:tabs>
              <w:jc w:val="both"/>
              <w:divId w:val="1548252092"/>
              <w:rPr>
                <w:rFonts w:ascii="Arial" w:hAnsi="Arial" w:cs="Arial"/>
              </w:rPr>
            </w:pPr>
          </w:p>
          <w:p w:rsidR="00000000" w:rsidRDefault="000C5F26">
            <w:pPr>
              <w:spacing w:after="240"/>
              <w:divId w:val="1548252092"/>
              <w:rPr>
                <w:sz w:val="24"/>
                <w:szCs w:val="24"/>
                <w:lang w:val="es-CO" w:eastAsia="es-CO"/>
              </w:rPr>
            </w:pPr>
          </w:p>
          <w:p w:rsidR="00000000" w:rsidRDefault="000C5F26" w:rsidP="002D0358">
            <w:pPr>
              <w:spacing w:before="150"/>
              <w:jc w:val="center"/>
              <w:divId w:val="1387755334"/>
              <w:rPr>
                <w:sz w:val="24"/>
                <w:szCs w:val="24"/>
                <w:lang w:val="es-CO" w:eastAsia="es-CO"/>
              </w:rPr>
            </w:pPr>
            <w:bookmarkStart w:id="0" w:name="_GoBack"/>
            <w:bookmarkEnd w:id="0"/>
          </w:p>
        </w:tc>
      </w:tr>
    </w:tbl>
    <w:p w:rsidR="000C5F26" w:rsidRDefault="000C5F26">
      <w:pPr>
        <w:divId w:val="1995644536"/>
        <w:rPr>
          <w:sz w:val="24"/>
          <w:szCs w:val="24"/>
          <w:lang w:val="es-CO" w:eastAsia="es-CO"/>
        </w:rPr>
      </w:pPr>
    </w:p>
    <w:sectPr w:rsidR="000C5F26">
      <w:pgSz w:w="12242" w:h="18722"/>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26" w:rsidRDefault="000C5F26">
      <w:r>
        <w:separator/>
      </w:r>
    </w:p>
  </w:endnote>
  <w:endnote w:type="continuationSeparator" w:id="0">
    <w:p w:rsidR="000C5F26" w:rsidRDefault="000C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26" w:rsidRDefault="000C5F26">
      <w:r>
        <w:separator/>
      </w:r>
    </w:p>
  </w:footnote>
  <w:footnote w:type="continuationSeparator" w:id="0">
    <w:p w:rsidR="000C5F26" w:rsidRDefault="000C5F26">
      <w:r>
        <w:continuationSeparator/>
      </w:r>
    </w:p>
  </w:footnote>
  <w:footnote w:id="1">
    <w:p w:rsidR="00000000" w:rsidRDefault="000C5F26">
      <w:pPr>
        <w:pStyle w:val="Textonotapie"/>
        <w:jc w:val="both"/>
        <w:rPr>
          <w:rFonts w:cs="Arial"/>
          <w:sz w:val="18"/>
          <w:szCs w:val="18"/>
          <w:lang w:val="es-CO"/>
        </w:rPr>
      </w:pPr>
      <w:r>
        <w:rPr>
          <w:rStyle w:val="Refdenotaalpie"/>
          <w:rFonts w:cs="Arial"/>
          <w:sz w:val="18"/>
          <w:szCs w:val="18"/>
        </w:rPr>
        <w:footnoteRef/>
      </w:r>
      <w:r>
        <w:rPr>
          <w:rFonts w:cs="Arial"/>
          <w:sz w:val="18"/>
          <w:szCs w:val="18"/>
        </w:rPr>
        <w:t xml:space="preserve"> </w:t>
      </w:r>
      <w:r>
        <w:rPr>
          <w:rFonts w:cs="Arial"/>
          <w:sz w:val="18"/>
          <w:szCs w:val="18"/>
          <w:lang w:val="es-CO"/>
        </w:rPr>
        <w:t>Corte Constitucional, Sentencia T 350 de 11 de mayo de 2010, M.P. Humberto Sierra 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509C"/>
    <w:multiLevelType w:val="multilevel"/>
    <w:tmpl w:val="2416A9AC"/>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08"/>
  <w:hyphenationZone w:val="4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D0358"/>
    <w:rsid w:val="000C5F26"/>
    <w:rsid w:val="002D03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33AD71-5DBC-41E0-94F8-338C63E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link w:val="Ttulo1Car"/>
    <w:qFormat/>
    <w:pPr>
      <w:keepNext/>
      <w:spacing w:line="360" w:lineRule="auto"/>
      <w:jc w:val="center"/>
      <w:outlineLvl w:val="0"/>
    </w:pPr>
    <w:rPr>
      <w:rFonts w:ascii="Arial" w:eastAsiaTheme="minorEastAsia" w:hAnsi="Arial"/>
      <w:b/>
      <w:sz w:val="28"/>
      <w:lang w:val="es-ES_tradnl"/>
    </w:rPr>
  </w:style>
  <w:style w:type="paragraph" w:styleId="Ttulo2">
    <w:name w:val="heading 2"/>
    <w:basedOn w:val="Normal"/>
    <w:next w:val="Normal"/>
    <w:link w:val="Ttulo2Car"/>
    <w:qFormat/>
    <w:pPr>
      <w:keepNext/>
      <w:spacing w:line="360" w:lineRule="auto"/>
      <w:jc w:val="both"/>
      <w:outlineLvl w:val="1"/>
    </w:pPr>
    <w:rPr>
      <w:rFonts w:ascii="Arial" w:eastAsiaTheme="minorEastAsia" w:hAnsi="Arial"/>
      <w:sz w:val="28"/>
      <w:u w:val="single"/>
      <w:lang w:val="es-ES_tradnl"/>
    </w:rPr>
  </w:style>
  <w:style w:type="paragraph" w:styleId="Ttulo3">
    <w:name w:val="heading 3"/>
    <w:basedOn w:val="Normal"/>
    <w:next w:val="Normal"/>
    <w:link w:val="Ttulo3Car"/>
    <w:qFormat/>
    <w:pPr>
      <w:keepNext/>
      <w:spacing w:before="240" w:after="60"/>
      <w:outlineLvl w:val="2"/>
    </w:pPr>
    <w:rPr>
      <w:rFonts w:ascii="Cambria" w:eastAsiaTheme="minorEastAs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563C1"/>
      <w:u w:val="single"/>
    </w:rPr>
  </w:style>
  <w:style w:type="character" w:styleId="Hipervnculovisitado">
    <w:name w:val="FollowedHyperlink"/>
    <w:basedOn w:val="Fuentedeprrafopredeter"/>
    <w:rPr>
      <w:color w:val="954F72" w:themeColor="followedHyperlink"/>
      <w:u w:val="single"/>
    </w:rPr>
  </w:style>
  <w:style w:type="character" w:customStyle="1" w:styleId="Ttulo1Car">
    <w:name w:val="Título 1 Car"/>
    <w:link w:val="Ttulo1"/>
    <w:locked/>
    <w:rPr>
      <w:rFonts w:ascii="Arial" w:hAnsi="Arial" w:cs="Arial" w:hint="default"/>
      <w:b/>
      <w:bCs w:val="0"/>
      <w:sz w:val="28"/>
      <w:lang w:val="es-ES_tradnl" w:eastAsia="es-ES"/>
    </w:rPr>
  </w:style>
  <w:style w:type="character" w:customStyle="1" w:styleId="Ttulo2Car">
    <w:name w:val="Título 2 Car"/>
    <w:basedOn w:val="Fuentedeprrafopredeter"/>
    <w:link w:val="Ttulo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link w:val="Ttulo3"/>
    <w:locked/>
    <w:rPr>
      <w:rFonts w:ascii="Cambria" w:hAnsi="Cambria" w:hint="default"/>
      <w:b/>
      <w:bCs/>
      <w:sz w:val="26"/>
      <w:szCs w:val="26"/>
      <w:lang w:val="es-ES" w:eastAsia="es-ES" w:bidi="ar-SA"/>
    </w:rPr>
  </w:style>
  <w:style w:type="paragraph" w:styleId="NormalWeb">
    <w:name w:val="Normal (Web)"/>
    <w:basedOn w:val="Normal"/>
    <w:pPr>
      <w:spacing w:before="100" w:beforeAutospacing="1" w:after="100" w:afterAutospacing="1"/>
    </w:pPr>
    <w:rPr>
      <w:sz w:val="24"/>
      <w:szCs w:val="24"/>
    </w:rPr>
  </w:style>
  <w:style w:type="character" w:customStyle="1" w:styleId="TextonotapieCar">
    <w:name w:val="Texto nota pie Car"/>
    <w:aliases w:val="Footnote Text Char Char Char Char Char Car,Footnote Text Char Char Char Char Car,Footnote reference Car,FA Fu Car,texto de nota al pie Car1,Car Car,Footnote Text Char Char Char Car,Footnote Text Char Char Char Car Car Car Car"/>
    <w:link w:val="Textonotapie"/>
    <w:locked/>
    <w:rPr>
      <w:rFonts w:ascii="Arial" w:hAnsi="Arial" w:cs="Arial" w:hint="default"/>
      <w:lang w:val="es-ES_tradnl" w:eastAsia="es-ES"/>
    </w:rPr>
  </w:style>
  <w:style w:type="paragraph" w:styleId="Textonotapie">
    <w:name w:val="footnote text"/>
    <w:aliases w:val="Footnote Text Char Char Char Char Char,Footnote Text Char Char Char Char,Footnote reference,FA Fu,texto de nota al pie,Car,Footnote Text Char Char Char,Footnote Text Char Char Char Car Car Car,Ref. de nota al pie1,texto de nota al pie Car"/>
    <w:basedOn w:val="Normal"/>
    <w:link w:val="TextonotapieCar"/>
    <w:uiPriority w:val="99"/>
    <w:rPr>
      <w:rFonts w:ascii="Arial" w:hAnsi="Arial"/>
      <w:lang w:val="es-ES_tradnl"/>
    </w:rPr>
  </w:style>
  <w:style w:type="character" w:customStyle="1" w:styleId="TextonotapieCar1">
    <w:name w:val="Texto nota pie Car1"/>
    <w:aliases w:val="Footnote Text Char Char Char Char Char Car1,Footnote Text Char Char Char Char Car1,Footnote reference Car1,FA Fu Car1,texto de nota al pie Car2,Car Car1,Footnote Text Char Char Char Car1,Footnote Text Char Char Char Car Car Car Car1"/>
    <w:basedOn w:val="Fuentedeprrafopredeter"/>
    <w:uiPriority w:val="99"/>
    <w:rPr>
      <w:lang w:val="es-ES" w:eastAsia="es-ES"/>
    </w:rPr>
  </w:style>
  <w:style w:type="paragraph" w:styleId="Encabezado">
    <w:name w:val="header"/>
    <w:basedOn w:val="Normal"/>
    <w:link w:val="EncabezadoCar"/>
    <w:uiPriority w:val="99"/>
    <w:pPr>
      <w:tabs>
        <w:tab w:val="center" w:pos="4252"/>
        <w:tab w:val="right" w:pos="8504"/>
      </w:tabs>
    </w:pPr>
    <w:rPr>
      <w:lang w:val="es-ES_tradnl"/>
    </w:rPr>
  </w:style>
  <w:style w:type="character" w:customStyle="1" w:styleId="EncabezadoCar">
    <w:name w:val="Encabezado Car"/>
    <w:link w:val="Encabezado"/>
    <w:uiPriority w:val="99"/>
    <w:locked/>
    <w:rPr>
      <w:lang w:val="es-ES_tradnl" w:eastAsia="es-ES"/>
    </w:rPr>
  </w:style>
  <w:style w:type="paragraph" w:styleId="Piedepgina">
    <w:name w:val="footer"/>
    <w:basedOn w:val="Normal"/>
    <w:link w:val="PiedepginaCar"/>
    <w:uiPriority w:val="99"/>
    <w:pPr>
      <w:tabs>
        <w:tab w:val="center" w:pos="4252"/>
        <w:tab w:val="right" w:pos="8504"/>
      </w:tabs>
    </w:pPr>
    <w:rPr>
      <w:lang w:val="es-ES_tradnl"/>
    </w:rPr>
  </w:style>
  <w:style w:type="character" w:customStyle="1" w:styleId="PiedepginaCar">
    <w:name w:val="Pie de página Car"/>
    <w:link w:val="Piedepgina"/>
    <w:uiPriority w:val="99"/>
    <w:locked/>
    <w:rPr>
      <w:lang w:val="es-ES_tradnl" w:eastAsia="es-ES"/>
    </w:rPr>
  </w:style>
  <w:style w:type="paragraph" w:styleId="Textonotaalfinal">
    <w:name w:val="endnote text"/>
    <w:basedOn w:val="Normal"/>
    <w:link w:val="TextonotaalfinalCar"/>
  </w:style>
  <w:style w:type="character" w:customStyle="1" w:styleId="TextonotaalfinalCar">
    <w:name w:val="Texto nota al final Car"/>
    <w:basedOn w:val="Fuentedeprrafopredeter"/>
    <w:link w:val="Textonotaalfinal"/>
    <w:locked/>
  </w:style>
  <w:style w:type="paragraph" w:styleId="Puesto">
    <w:name w:val="Title"/>
    <w:basedOn w:val="Normal"/>
    <w:link w:val="PuestoCar"/>
    <w:qFormat/>
    <w:pPr>
      <w:spacing w:line="360" w:lineRule="auto"/>
      <w:jc w:val="center"/>
    </w:pPr>
    <w:rPr>
      <w:rFonts w:ascii="Arial" w:hAnsi="Arial"/>
      <w:b/>
      <w:sz w:val="28"/>
      <w:lang w:val="es-ES_tradnl"/>
    </w:rPr>
  </w:style>
  <w:style w:type="character" w:customStyle="1" w:styleId="PuestoCar">
    <w:name w:val="Puesto Car"/>
    <w:basedOn w:val="Fuentedeprrafopredeter"/>
    <w:link w:val="Puesto"/>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pPr>
      <w:spacing w:line="360" w:lineRule="auto"/>
      <w:jc w:val="both"/>
    </w:pPr>
    <w:rPr>
      <w:rFonts w:ascii="Verdana" w:hAnsi="Verdana"/>
      <w:sz w:val="24"/>
      <w:lang w:val="es-ES_tradnl" w:eastAsia="x-none"/>
    </w:rPr>
  </w:style>
  <w:style w:type="character" w:customStyle="1" w:styleId="TextoindependienteCar">
    <w:name w:val="Texto independiente Car"/>
    <w:link w:val="Textoindependiente"/>
    <w:locked/>
    <w:rPr>
      <w:rFonts w:ascii="Verdana" w:hAnsi="Verdana" w:hint="default"/>
      <w:sz w:val="24"/>
      <w:lang w:val="es-ES_tradnl"/>
    </w:rPr>
  </w:style>
  <w:style w:type="paragraph" w:styleId="Sangradetextonormal">
    <w:name w:val="Body Text Indent"/>
    <w:basedOn w:val="Normal"/>
    <w:link w:val="SangradetextonormalCar"/>
    <w:uiPriority w:val="99"/>
    <w:pPr>
      <w:spacing w:line="460" w:lineRule="atLeast"/>
      <w:ind w:firstLine="1418"/>
      <w:jc w:val="both"/>
    </w:pPr>
    <w:rPr>
      <w:rFonts w:ascii="Verdana" w:hAnsi="Verdana"/>
      <w:sz w:val="24"/>
      <w:lang w:val="es-ES_tradnl"/>
    </w:rPr>
  </w:style>
  <w:style w:type="character" w:customStyle="1" w:styleId="SangradetextonormalCar">
    <w:name w:val="Sangría de texto normal Car"/>
    <w:link w:val="Sangradetextonormal"/>
    <w:uiPriority w:val="99"/>
    <w:locked/>
    <w:rPr>
      <w:rFonts w:ascii="Verdana" w:hAnsi="Verdana" w:hint="default"/>
      <w:sz w:val="24"/>
      <w:lang w:val="es-ES_tradnl" w:eastAsia="es-ES"/>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basedOn w:val="Fuentedeprrafopredeter"/>
    <w:link w:val="Sangra2detindependiente"/>
    <w:rPr>
      <w:lang w:val="es-ES" w:eastAsia="es-ES"/>
    </w:rPr>
  </w:style>
  <w:style w:type="paragraph" w:styleId="Sangra3detindependiente">
    <w:name w:val="Body Text Indent 3"/>
    <w:basedOn w:val="Normal"/>
    <w:link w:val="Sangra3detindependienteCar"/>
    <w:uiPriority w:val="99"/>
    <w:pPr>
      <w:tabs>
        <w:tab w:val="left" w:pos="1080"/>
      </w:tabs>
      <w:overflowPunct w:val="0"/>
      <w:autoSpaceDE w:val="0"/>
      <w:autoSpaceDN w:val="0"/>
      <w:adjustRightInd w:val="0"/>
      <w:spacing w:line="360" w:lineRule="auto"/>
      <w:ind w:firstLine="1100"/>
      <w:jc w:val="both"/>
    </w:pPr>
    <w:rPr>
      <w:rFonts w:ascii="Arial" w:hAnsi="Arial"/>
      <w:sz w:val="24"/>
    </w:rPr>
  </w:style>
  <w:style w:type="character" w:customStyle="1" w:styleId="Sangra3detindependienteCar">
    <w:name w:val="Sangría 3 de t. independiente Car"/>
    <w:link w:val="Sangra3detindependiente"/>
    <w:uiPriority w:val="99"/>
    <w:locked/>
    <w:rPr>
      <w:rFonts w:ascii="Arial" w:hAnsi="Arial" w:cs="Arial" w:hint="default"/>
      <w:sz w:val="24"/>
      <w:lang w:val="es-ES" w:eastAsia="es-ES"/>
    </w:r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Pr>
      <w:rFonts w:ascii="Consolas" w:hAnsi="Consolas"/>
      <w:sz w:val="21"/>
      <w:szCs w:val="21"/>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rPr>
      <w:rFonts w:ascii="Segoe UI" w:hAnsi="Segoe UI" w:cs="Segoe UI"/>
      <w:sz w:val="18"/>
      <w:szCs w:val="18"/>
      <w:lang w:val="es-ES" w:eastAsia="es-ES"/>
    </w:rPr>
  </w:style>
  <w:style w:type="paragraph" w:customStyle="1" w:styleId="BodyTextIndent1">
    <w:name w:val="Body Text Indent1"/>
    <w:basedOn w:val="Normal"/>
    <w:pPr>
      <w:autoSpaceDE w:val="0"/>
      <w:autoSpaceDN w:val="0"/>
      <w:spacing w:line="360" w:lineRule="auto"/>
      <w:jc w:val="both"/>
    </w:pPr>
    <w:rPr>
      <w:rFonts w:ascii="Arial" w:hAnsi="Arial" w:cs="Arial"/>
      <w:sz w:val="26"/>
      <w:szCs w:val="26"/>
    </w:rPr>
  </w:style>
  <w:style w:type="paragraph" w:customStyle="1" w:styleId="Textoindependiente21">
    <w:name w:val="Texto independiente 21"/>
    <w:basedOn w:val="Normal"/>
    <w:pPr>
      <w:spacing w:line="480" w:lineRule="auto"/>
      <w:jc w:val="both"/>
    </w:pPr>
    <w:rPr>
      <w:rFonts w:ascii="Arial Black" w:hAnsi="Arial Black"/>
      <w:b/>
      <w:sz w:val="28"/>
    </w:rPr>
  </w:style>
  <w:style w:type="paragraph" w:customStyle="1" w:styleId="Yo">
    <w:name w:val="Yo"/>
    <w:basedOn w:val="Ttulo3"/>
    <w:pPr>
      <w:widowControl w:val="0"/>
      <w:numPr>
        <w:numId w:val="2"/>
      </w:numPr>
      <w:tabs>
        <w:tab w:val="left" w:pos="-1440"/>
        <w:tab w:val="left" w:pos="-720"/>
        <w:tab w:val="num" w:pos="360"/>
      </w:tabs>
      <w:suppressAutoHyphens/>
      <w:spacing w:before="0" w:after="0" w:line="360" w:lineRule="auto"/>
      <w:ind w:left="720" w:firstLine="0"/>
      <w:jc w:val="center"/>
    </w:pPr>
    <w:rPr>
      <w:rFonts w:ascii="Bookman Old Style" w:eastAsia="Times New Roman" w:hAnsi="Bookman Old Style" w:cs="Estrangelo Edessa"/>
      <w:sz w:val="28"/>
      <w:szCs w:val="28"/>
    </w:rPr>
  </w:style>
  <w:style w:type="character" w:styleId="Refdenotaalpie">
    <w:name w:val="footnote reference"/>
    <w:aliases w:val="FC,referencia nota al pie,Texto de nota al pie,Ref. de nota al pie 2"/>
    <w:rPr>
      <w:vertAlign w:val="superscript"/>
    </w:rPr>
  </w:style>
  <w:style w:type="character" w:styleId="Refdenotaalfinal">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44536">
      <w:marLeft w:val="0"/>
      <w:marRight w:val="0"/>
      <w:marTop w:val="0"/>
      <w:marBottom w:val="0"/>
      <w:divBdr>
        <w:top w:val="none" w:sz="0" w:space="0" w:color="auto"/>
        <w:left w:val="none" w:sz="0" w:space="0" w:color="auto"/>
        <w:bottom w:val="none" w:sz="0" w:space="0" w:color="auto"/>
        <w:right w:val="none" w:sz="0" w:space="0" w:color="auto"/>
      </w:divBdr>
      <w:divsChild>
        <w:div w:id="1548252092">
          <w:marLeft w:val="0"/>
          <w:marRight w:val="0"/>
          <w:marTop w:val="0"/>
          <w:marBottom w:val="0"/>
          <w:divBdr>
            <w:top w:val="none" w:sz="0" w:space="0" w:color="auto"/>
            <w:left w:val="none" w:sz="0" w:space="0" w:color="auto"/>
            <w:bottom w:val="none" w:sz="0" w:space="0" w:color="auto"/>
            <w:right w:val="none" w:sz="0" w:space="0" w:color="auto"/>
          </w:divBdr>
          <w:divsChild>
            <w:div w:id="1387755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PLANTILLA%20%20STC%20DR.%20TOLOSA%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STC DR. TOLOSA </Template>
  <TotalTime>0</TotalTime>
  <Pages>1</Pages>
  <Words>1270</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Abogada</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Nestor Leon Camelo</dc:creator>
  <cp:keywords/>
  <dc:description/>
  <cp:lastModifiedBy>GOFER</cp:lastModifiedBy>
  <cp:revision>2</cp:revision>
  <cp:lastPrinted>2016-04-22T21:27:00Z</cp:lastPrinted>
  <dcterms:created xsi:type="dcterms:W3CDTF">2016-07-29T04:27:00Z</dcterms:created>
  <dcterms:modified xsi:type="dcterms:W3CDTF">2016-07-29T04:27:00Z</dcterms:modified>
</cp:coreProperties>
</file>