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480"/>
      </w:tblGrid>
      <w:tr w:rsidR="00000000">
        <w:trPr>
          <w:divId w:val="115608578"/>
          <w:tblCellSpacing w:w="0" w:type="dxa"/>
          <w:jc w:val="center"/>
        </w:trPr>
        <w:tc>
          <w:tcPr>
            <w:tcW w:w="0" w:type="auto"/>
            <w:vAlign w:val="center"/>
          </w:tcPr>
          <w:p w:rsidR="00000000" w:rsidRDefault="00507C32">
            <w:pPr>
              <w:divId w:val="1926962744"/>
            </w:pPr>
            <w:r>
              <w:t xml:space="preserve">   </w:t>
            </w:r>
          </w:p>
          <w:p w:rsidR="00000000" w:rsidRDefault="00507C32">
            <w:pPr>
              <w:pStyle w:val="Puesto"/>
              <w:spacing w:line="240" w:lineRule="auto"/>
              <w:divId w:val="1926962744"/>
              <w:rPr>
                <w:rFonts w:cs="Arial"/>
                <w:sz w:val="32"/>
                <w:szCs w:val="20"/>
                <w:lang w:val="es-CO"/>
              </w:rPr>
            </w:pPr>
            <w:r>
              <w:rPr>
                <w:rFonts w:cs="Arial"/>
                <w:sz w:val="32"/>
                <w:szCs w:val="20"/>
                <w:lang w:val="es-CO"/>
              </w:rPr>
              <w:t>CORTE SUPREMA DE JUSTICIA</w:t>
            </w:r>
          </w:p>
          <w:p w:rsidR="00000000" w:rsidRDefault="00507C32">
            <w:pPr>
              <w:jc w:val="center"/>
              <w:divId w:val="1926962744"/>
              <w:rPr>
                <w:rFonts w:ascii="Arial" w:hAnsi="Arial" w:cs="Arial"/>
                <w:b/>
                <w:sz w:val="32"/>
                <w:szCs w:val="20"/>
              </w:rPr>
            </w:pPr>
            <w:r>
              <w:rPr>
                <w:rFonts w:ascii="Arial" w:hAnsi="Arial" w:cs="Arial"/>
                <w:b/>
                <w:sz w:val="32"/>
                <w:szCs w:val="20"/>
              </w:rPr>
              <w:t>SALA DE CASACIÓN CIVIL</w:t>
            </w:r>
          </w:p>
          <w:p w:rsidR="00000000" w:rsidRDefault="00507C32">
            <w:pPr>
              <w:jc w:val="both"/>
              <w:divId w:val="1926962744"/>
              <w:rPr>
                <w:rFonts w:ascii="Arial" w:hAnsi="Arial" w:cs="Arial"/>
                <w:sz w:val="20"/>
                <w:szCs w:val="20"/>
              </w:rPr>
            </w:pPr>
          </w:p>
          <w:p w:rsidR="00000000" w:rsidRDefault="00507C32">
            <w:pPr>
              <w:jc w:val="both"/>
              <w:divId w:val="1926962744"/>
              <w:rPr>
                <w:rFonts w:ascii="Arial" w:hAnsi="Arial" w:cs="Arial"/>
                <w:b/>
                <w:szCs w:val="20"/>
              </w:rPr>
            </w:pPr>
          </w:p>
          <w:p w:rsidR="00000000" w:rsidRDefault="00507C32">
            <w:pPr>
              <w:jc w:val="both"/>
              <w:divId w:val="1926962744"/>
              <w:rPr>
                <w:rFonts w:ascii="Arial" w:hAnsi="Arial" w:cs="Arial"/>
                <w:b/>
                <w:szCs w:val="20"/>
              </w:rPr>
            </w:pPr>
          </w:p>
          <w:p w:rsidR="00000000" w:rsidRDefault="00507C32">
            <w:pPr>
              <w:jc w:val="both"/>
              <w:divId w:val="1926962744"/>
              <w:rPr>
                <w:rFonts w:ascii="Arial" w:hAnsi="Arial" w:cs="Arial"/>
                <w:b/>
                <w:szCs w:val="20"/>
              </w:rPr>
            </w:pPr>
          </w:p>
          <w:p w:rsidR="00000000" w:rsidRDefault="00507C32">
            <w:pPr>
              <w:jc w:val="both"/>
              <w:divId w:val="1926962744"/>
              <w:rPr>
                <w:rFonts w:ascii="Arial" w:hAnsi="Arial" w:cs="Arial"/>
                <w:b/>
                <w:szCs w:val="20"/>
              </w:rPr>
            </w:pPr>
          </w:p>
          <w:p w:rsidR="00000000" w:rsidRDefault="00507C32">
            <w:pPr>
              <w:jc w:val="both"/>
              <w:divId w:val="1926962744"/>
              <w:rPr>
                <w:rFonts w:ascii="Arial" w:hAnsi="Arial" w:cs="Arial"/>
                <w:b/>
                <w:szCs w:val="20"/>
              </w:rPr>
            </w:pPr>
            <w:r>
              <w:rPr>
                <w:rFonts w:ascii="Arial" w:hAnsi="Arial" w:cs="Arial"/>
                <w:b/>
                <w:szCs w:val="20"/>
              </w:rPr>
              <w:t>Bogotá, D. C., tres (3) de mayo de dos mil dieciséis (2016).</w:t>
            </w:r>
          </w:p>
          <w:p w:rsidR="00000000" w:rsidRDefault="00507C32">
            <w:pPr>
              <w:pStyle w:val="Ttulo1"/>
              <w:spacing w:line="240" w:lineRule="auto"/>
              <w:ind w:left="0" w:firstLine="0"/>
              <w:divId w:val="1926962744"/>
              <w:rPr>
                <w:rFonts w:eastAsia="Times New Roman" w:cs="Arial"/>
                <w:color w:val="FF0000"/>
                <w:szCs w:val="20"/>
                <w:lang w:val="es-CO"/>
              </w:rPr>
            </w:pPr>
            <w:r>
              <w:rPr>
                <w:rFonts w:eastAsia="Times New Roman" w:cs="Arial"/>
                <w:szCs w:val="20"/>
              </w:rPr>
              <w:t xml:space="preserve">Radicación n.º </w:t>
            </w:r>
            <w:r>
              <w:rPr>
                <w:rFonts w:eastAsia="Times New Roman" w:cs="Arial"/>
                <w:color w:val="FF0000"/>
                <w:szCs w:val="20"/>
              </w:rPr>
              <w:t>76001</w:t>
            </w:r>
            <w:r>
              <w:rPr>
                <w:rFonts w:eastAsia="Times New Roman" w:cs="Arial"/>
                <w:color w:val="FF0000"/>
                <w:szCs w:val="20"/>
                <w:lang w:val="es-CO"/>
              </w:rPr>
              <w:t>-22-10-000-2016-00044-01</w:t>
            </w:r>
          </w:p>
          <w:p w:rsidR="00000000" w:rsidRDefault="00507C32">
            <w:pPr>
              <w:jc w:val="both"/>
              <w:divId w:val="1926962744"/>
              <w:rPr>
                <w:rFonts w:ascii="Arial" w:hAnsi="Arial" w:cs="Arial"/>
                <w:b/>
                <w:szCs w:val="20"/>
              </w:rPr>
            </w:pPr>
            <w:r>
              <w:rPr>
                <w:rFonts w:ascii="Arial" w:hAnsi="Arial" w:cs="Arial"/>
                <w:b/>
                <w:szCs w:val="20"/>
              </w:rPr>
              <w:t>STC5578-2016</w:t>
            </w:r>
          </w:p>
          <w:p w:rsidR="00000000" w:rsidRDefault="00507C32">
            <w:pPr>
              <w:jc w:val="both"/>
              <w:divId w:val="1926962744"/>
              <w:rPr>
                <w:rFonts w:ascii="Arial" w:hAnsi="Arial" w:cs="Arial"/>
                <w:b/>
                <w:szCs w:val="20"/>
              </w:rPr>
            </w:pPr>
            <w:r>
              <w:rPr>
                <w:rFonts w:ascii="Arial" w:hAnsi="Arial" w:cs="Arial"/>
                <w:b/>
                <w:szCs w:val="20"/>
              </w:rPr>
              <w:t>(Aprobado en sesión de veintisiete de abril de dos mil dieciséis)</w:t>
            </w:r>
          </w:p>
          <w:p w:rsidR="00000000" w:rsidRDefault="00507C32">
            <w:pPr>
              <w:tabs>
                <w:tab w:val="left" w:pos="1560"/>
              </w:tabs>
              <w:jc w:val="both"/>
              <w:divId w:val="1926962744"/>
              <w:rPr>
                <w:rFonts w:ascii="Arial" w:hAnsi="Arial" w:cs="Arial"/>
                <w:b/>
                <w:szCs w:val="20"/>
              </w:rPr>
            </w:pPr>
            <w:r>
              <w:rPr>
                <w:rFonts w:ascii="Arial" w:hAnsi="Arial" w:cs="Arial"/>
                <w:b/>
                <w:szCs w:val="20"/>
              </w:rPr>
              <w:t>LUIS ARMANDO TOLOSA VILLABONA</w:t>
            </w:r>
          </w:p>
          <w:p w:rsidR="00000000" w:rsidRDefault="00507C32">
            <w:pPr>
              <w:jc w:val="both"/>
              <w:divId w:val="1926962744"/>
              <w:rPr>
                <w:rFonts w:ascii="Arial" w:hAnsi="Arial" w:cs="Arial"/>
                <w:b/>
                <w:szCs w:val="20"/>
              </w:rPr>
            </w:pPr>
            <w:r>
              <w:rPr>
                <w:rFonts w:ascii="Arial" w:hAnsi="Arial" w:cs="Arial"/>
                <w:b/>
                <w:szCs w:val="20"/>
              </w:rPr>
              <w:t>Magistrado ponente</w:t>
            </w:r>
          </w:p>
          <w:p w:rsidR="00000000" w:rsidRDefault="00507C32">
            <w:pPr>
              <w:tabs>
                <w:tab w:val="left" w:pos="142"/>
              </w:tabs>
              <w:jc w:val="both"/>
              <w:divId w:val="1926962744"/>
              <w:rPr>
                <w:rFonts w:ascii="Arial" w:hAnsi="Arial" w:cs="Arial"/>
                <w:sz w:val="20"/>
                <w:szCs w:val="20"/>
              </w:rPr>
            </w:pPr>
          </w:p>
          <w:p w:rsidR="00000000" w:rsidRDefault="00507C32">
            <w:pPr>
              <w:tabs>
                <w:tab w:val="left" w:pos="142"/>
              </w:tabs>
              <w:jc w:val="both"/>
              <w:divId w:val="1926962744"/>
              <w:rPr>
                <w:rFonts w:ascii="Arial" w:hAnsi="Arial" w:cs="Arial"/>
                <w:sz w:val="20"/>
                <w:szCs w:val="20"/>
              </w:rPr>
            </w:pPr>
          </w:p>
          <w:p w:rsidR="00000000" w:rsidRDefault="00507C32">
            <w:pPr>
              <w:tabs>
                <w:tab w:val="left" w:pos="142"/>
              </w:tabs>
              <w:jc w:val="both"/>
              <w:divId w:val="1926962744"/>
              <w:rPr>
                <w:rFonts w:ascii="Arial" w:hAnsi="Arial" w:cs="Arial"/>
                <w:sz w:val="20"/>
                <w:szCs w:val="20"/>
              </w:rPr>
            </w:pPr>
          </w:p>
          <w:p w:rsidR="00000000" w:rsidRDefault="00507C32">
            <w:pPr>
              <w:tabs>
                <w:tab w:val="left" w:pos="142"/>
              </w:tabs>
              <w:jc w:val="both"/>
              <w:divId w:val="1926962744"/>
              <w:rPr>
                <w:rFonts w:ascii="Arial" w:hAnsi="Arial" w:cs="Arial"/>
                <w:sz w:val="20"/>
                <w:szCs w:val="20"/>
              </w:rPr>
            </w:pPr>
          </w:p>
          <w:p w:rsidR="00000000" w:rsidRDefault="00507C32">
            <w:pPr>
              <w:jc w:val="both"/>
              <w:divId w:val="1926962744"/>
              <w:rPr>
                <w:rFonts w:ascii="Arial" w:hAnsi="Arial" w:cs="Arial"/>
                <w:sz w:val="20"/>
                <w:szCs w:val="20"/>
              </w:rPr>
            </w:pPr>
            <w:r>
              <w:rPr>
                <w:rFonts w:ascii="Arial" w:hAnsi="Arial" w:cs="Arial"/>
                <w:sz w:val="20"/>
                <w:szCs w:val="20"/>
              </w:rPr>
              <w:t>Decídese la impugnación formulada frente a la sentencia dictada el 30 de marzo de 2016 por la Sala de Familia del Tribunal Superior del Distrito Judicial de Cali, dentro de la tutela instaurada por María</w:t>
            </w:r>
            <w:r>
              <w:rPr>
                <w:rFonts w:ascii="Arial" w:hAnsi="Arial" w:cs="Arial"/>
                <w:sz w:val="20"/>
                <w:szCs w:val="20"/>
              </w:rPr>
              <w:t xml:space="preserve"> Frinet Popo Cortés en contra del Departamento Administrativo de la Presidencia de la República, el Ministerio del Interior y la Unidad Administrativa Especial de Atención y Reparación Integral a las Víctimas, extensiva al Departamento </w:t>
            </w:r>
            <w:r>
              <w:rPr>
                <w:rFonts w:ascii="Arial" w:hAnsi="Arial" w:cs="Arial"/>
                <w:sz w:val="20"/>
                <w:szCs w:val="20"/>
              </w:rPr>
              <w:t xml:space="preserve">Administrativo para </w:t>
            </w:r>
            <w:r>
              <w:rPr>
                <w:rFonts w:ascii="Arial" w:hAnsi="Arial" w:cs="Arial"/>
                <w:sz w:val="20"/>
                <w:szCs w:val="20"/>
              </w:rPr>
              <w:t xml:space="preserve">la Prosperidad Social </w:t>
            </w:r>
            <w:r>
              <w:rPr>
                <w:rFonts w:ascii="Arial" w:hAnsi="Arial" w:cs="Arial"/>
                <w:sz w:val="20"/>
                <w:szCs w:val="20"/>
              </w:rPr>
              <w:t></w:t>
            </w:r>
            <w:r>
              <w:rPr>
                <w:rFonts w:ascii="Arial" w:hAnsi="Arial" w:cs="Arial"/>
                <w:sz w:val="20"/>
                <w:szCs w:val="20"/>
              </w:rPr>
              <w:t>DPS.</w:t>
            </w:r>
          </w:p>
          <w:p w:rsidR="00000000" w:rsidRDefault="00507C32">
            <w:pPr>
              <w:jc w:val="both"/>
              <w:divId w:val="1926962744"/>
              <w:rPr>
                <w:rFonts w:ascii="Arial" w:hAnsi="Arial" w:cs="Arial"/>
                <w:sz w:val="20"/>
                <w:szCs w:val="20"/>
              </w:rPr>
            </w:pPr>
          </w:p>
          <w:p w:rsidR="00000000" w:rsidRDefault="00507C32">
            <w:pPr>
              <w:jc w:val="both"/>
              <w:divId w:val="1926962744"/>
              <w:rPr>
                <w:rFonts w:ascii="Arial" w:hAnsi="Arial" w:cs="Arial"/>
                <w:sz w:val="20"/>
                <w:szCs w:val="20"/>
              </w:rPr>
            </w:pPr>
          </w:p>
          <w:p w:rsidR="00000000" w:rsidRDefault="00507C32">
            <w:pPr>
              <w:jc w:val="both"/>
              <w:divId w:val="1926962744"/>
              <w:rPr>
                <w:rFonts w:ascii="Arial" w:hAnsi="Arial" w:cs="Arial"/>
                <w:sz w:val="20"/>
                <w:szCs w:val="20"/>
              </w:rPr>
            </w:pPr>
          </w:p>
          <w:p w:rsidR="00000000" w:rsidRDefault="00507C32">
            <w:pPr>
              <w:pStyle w:val="Sinespaciado"/>
              <w:jc w:val="both"/>
              <w:divId w:val="1926962744"/>
              <w:rPr>
                <w:rFonts w:ascii="Arial" w:hAnsi="Arial" w:cs="Arial"/>
                <w:sz w:val="20"/>
                <w:szCs w:val="20"/>
              </w:rPr>
            </w:pPr>
          </w:p>
          <w:p w:rsidR="00000000" w:rsidRDefault="00507C32">
            <w:pPr>
              <w:pStyle w:val="Textoindependiente"/>
              <w:numPr>
                <w:ilvl w:val="0"/>
                <w:numId w:val="2"/>
              </w:numPr>
              <w:tabs>
                <w:tab w:val="left" w:pos="709"/>
              </w:tabs>
              <w:spacing w:after="0"/>
              <w:ind w:left="0" w:firstLine="0"/>
              <w:jc w:val="both"/>
              <w:divId w:val="1926962744"/>
              <w:rPr>
                <w:rFonts w:ascii="Arial" w:hAnsi="Arial" w:cs="Arial"/>
                <w:bCs/>
                <w:sz w:val="20"/>
                <w:szCs w:val="20"/>
              </w:rPr>
            </w:pPr>
            <w:r>
              <w:rPr>
                <w:rFonts w:ascii="Arial" w:hAnsi="Arial" w:cs="Arial"/>
                <w:bCs/>
                <w:sz w:val="20"/>
                <w:szCs w:val="20"/>
              </w:rPr>
              <w:t>ANTECEDENTES</w:t>
            </w:r>
          </w:p>
          <w:p w:rsidR="00000000" w:rsidRDefault="00507C32">
            <w:pPr>
              <w:pStyle w:val="Sangra2detindependiente"/>
              <w:tabs>
                <w:tab w:val="left" w:pos="709"/>
              </w:tabs>
              <w:spacing w:after="0" w:line="240" w:lineRule="auto"/>
              <w:ind w:left="0"/>
              <w:jc w:val="both"/>
              <w:divId w:val="1926962744"/>
              <w:rPr>
                <w:rFonts w:ascii="Arial" w:hAnsi="Arial" w:cs="Arial"/>
                <w:sz w:val="20"/>
                <w:szCs w:val="20"/>
                <w:lang w:val="es-ES"/>
              </w:rPr>
            </w:pPr>
          </w:p>
          <w:p w:rsidR="00000000" w:rsidRDefault="00507C32">
            <w:pPr>
              <w:pStyle w:val="Sangra2detindependiente"/>
              <w:tabs>
                <w:tab w:val="left" w:pos="709"/>
              </w:tabs>
              <w:spacing w:after="0" w:line="240" w:lineRule="auto"/>
              <w:ind w:left="0"/>
              <w:jc w:val="both"/>
              <w:divId w:val="1926962744"/>
              <w:rPr>
                <w:rFonts w:ascii="Arial" w:hAnsi="Arial" w:cs="Arial"/>
                <w:sz w:val="20"/>
                <w:szCs w:val="20"/>
                <w:lang w:val="es-ES"/>
              </w:rPr>
            </w:pPr>
            <w:r>
              <w:rPr>
                <w:rFonts w:ascii="Arial" w:hAnsi="Arial" w:cs="Arial"/>
                <w:sz w:val="20"/>
                <w:szCs w:val="20"/>
                <w:lang w:val="es-ES"/>
              </w:rPr>
              <w:t>1. La gestora implora la protección de los derechos constitucionales a la vida, salud y petición, presuntamente lesionados por las autoridades accionadas.</w:t>
            </w:r>
          </w:p>
          <w:p w:rsidR="00000000" w:rsidRDefault="00507C32">
            <w:pPr>
              <w:pStyle w:val="Sinespaciado"/>
              <w:jc w:val="both"/>
              <w:divId w:val="1926962744"/>
              <w:rPr>
                <w:rFonts w:ascii="Arial" w:hAnsi="Arial" w:cs="Arial"/>
                <w:sz w:val="20"/>
                <w:szCs w:val="20"/>
                <w:lang w:val="es-ES"/>
              </w:rPr>
            </w:pPr>
          </w:p>
          <w:p w:rsidR="00000000" w:rsidRDefault="00507C32">
            <w:pPr>
              <w:pStyle w:val="Sangra2detindependiente"/>
              <w:tabs>
                <w:tab w:val="left" w:pos="709"/>
              </w:tabs>
              <w:spacing w:after="0" w:line="240" w:lineRule="auto"/>
              <w:ind w:left="0"/>
              <w:jc w:val="both"/>
              <w:divId w:val="1926962744"/>
              <w:rPr>
                <w:rFonts w:ascii="Arial" w:hAnsi="Arial" w:cs="Arial"/>
                <w:sz w:val="20"/>
                <w:szCs w:val="20"/>
                <w:lang w:val="es-ES"/>
              </w:rPr>
            </w:pPr>
            <w:r>
              <w:rPr>
                <w:rFonts w:ascii="Arial" w:hAnsi="Arial" w:cs="Arial"/>
                <w:sz w:val="20"/>
                <w:szCs w:val="20"/>
                <w:lang w:val="es-ES"/>
              </w:rPr>
              <w:t xml:space="preserve">2. </w:t>
            </w:r>
            <w:r>
              <w:rPr>
                <w:rFonts w:ascii="Arial" w:hAnsi="Arial" w:cs="Arial"/>
                <w:sz w:val="20"/>
                <w:szCs w:val="20"/>
                <w:lang w:val="es-CO"/>
              </w:rPr>
              <w:t xml:space="preserve">Sostiene, como base de su reclamo, en síntesis, lo siguiente </w:t>
            </w:r>
            <w:r>
              <w:rPr>
                <w:rFonts w:ascii="Arial" w:hAnsi="Arial" w:cs="Arial"/>
                <w:sz w:val="20"/>
                <w:szCs w:val="20"/>
              </w:rPr>
              <w:t>(fls.</w:t>
            </w:r>
            <w:r>
              <w:rPr>
                <w:rFonts w:ascii="Arial" w:hAnsi="Arial" w:cs="Arial"/>
                <w:sz w:val="20"/>
                <w:szCs w:val="20"/>
                <w:lang w:val="es-CO"/>
              </w:rPr>
              <w:t xml:space="preserve"> 1 a 4, cdno. 1</w:t>
            </w:r>
            <w:r>
              <w:rPr>
                <w:rFonts w:ascii="Arial" w:hAnsi="Arial" w:cs="Arial"/>
                <w:sz w:val="20"/>
                <w:szCs w:val="20"/>
              </w:rPr>
              <w:t>)</w:t>
            </w:r>
            <w:r>
              <w:rPr>
                <w:rFonts w:ascii="Arial" w:hAnsi="Arial" w:cs="Arial"/>
                <w:sz w:val="20"/>
                <w:szCs w:val="20"/>
                <w:lang w:val="es-CO"/>
              </w:rPr>
              <w:t>:</w:t>
            </w:r>
          </w:p>
          <w:p w:rsidR="00000000" w:rsidRDefault="00507C32">
            <w:pPr>
              <w:pStyle w:val="Sinespaciado"/>
              <w:jc w:val="both"/>
              <w:divId w:val="1926962744"/>
              <w:rPr>
                <w:rFonts w:ascii="Arial" w:hAnsi="Arial" w:cs="Arial"/>
                <w:sz w:val="20"/>
                <w:szCs w:val="20"/>
                <w:lang w:val="es-ES"/>
              </w:rPr>
            </w:pPr>
          </w:p>
          <w:p w:rsidR="00000000" w:rsidRDefault="00507C32">
            <w:pPr>
              <w:jc w:val="both"/>
              <w:divId w:val="1926962744"/>
              <w:rPr>
                <w:rFonts w:ascii="Arial" w:hAnsi="Arial" w:cs="Arial"/>
                <w:sz w:val="20"/>
                <w:szCs w:val="20"/>
              </w:rPr>
            </w:pPr>
            <w:r>
              <w:rPr>
                <w:rFonts w:ascii="Arial" w:hAnsi="Arial" w:cs="Arial"/>
                <w:sz w:val="20"/>
                <w:szCs w:val="20"/>
                <w:lang w:val="es-ES"/>
              </w:rPr>
              <w:t xml:space="preserve">2.1 </w:t>
            </w:r>
            <w:r>
              <w:rPr>
                <w:rFonts w:ascii="Arial" w:hAnsi="Arial" w:cs="Arial"/>
                <w:sz w:val="20"/>
                <w:szCs w:val="20"/>
              </w:rPr>
              <w:t xml:space="preserve">Fue damnificada en un </w:t>
            </w:r>
            <w:r>
              <w:rPr>
                <w:rFonts w:ascii="Arial" w:hAnsi="Arial" w:cs="Arial"/>
                <w:sz w:val="20"/>
                <w:szCs w:val="20"/>
              </w:rPr>
              <w:t xml:space="preserve">atentado terrorista perpetrado por las Farc </w:t>
            </w:r>
            <w:r>
              <w:rPr>
                <w:rFonts w:ascii="Arial" w:hAnsi="Arial" w:cs="Arial"/>
                <w:sz w:val="20"/>
                <w:szCs w:val="20"/>
              </w:rPr>
              <w:t></w:t>
            </w:r>
            <w:r>
              <w:rPr>
                <w:rFonts w:ascii="Arial" w:hAnsi="Arial" w:cs="Arial"/>
                <w:sz w:val="20"/>
                <w:szCs w:val="20"/>
              </w:rPr>
              <w:t>(</w:t>
            </w:r>
            <w:r>
              <w:rPr>
                <w:rFonts w:ascii="Arial" w:hAnsi="Arial" w:cs="Arial"/>
                <w:sz w:val="20"/>
                <w:szCs w:val="20"/>
              </w:rPr>
              <w:t></w:t>
            </w:r>
            <w:r>
              <w:rPr>
                <w:rFonts w:ascii="Arial" w:hAnsi="Arial" w:cs="Arial"/>
                <w:sz w:val="20"/>
                <w:szCs w:val="20"/>
              </w:rPr>
              <w:t>) en el corregimiento de Robles</w:t>
            </w:r>
            <w:r>
              <w:rPr>
                <w:rFonts w:ascii="Arial" w:hAnsi="Arial" w:cs="Arial"/>
                <w:sz w:val="20"/>
                <w:szCs w:val="20"/>
              </w:rPr>
              <w:t xml:space="preserve"> </w:t>
            </w:r>
            <w:r>
              <w:rPr>
                <w:rFonts w:ascii="Arial" w:hAnsi="Arial" w:cs="Arial"/>
                <w:sz w:val="20"/>
                <w:szCs w:val="20"/>
              </w:rPr>
              <w:t>el 13 de septiembre de 2014 (</w:t>
            </w:r>
            <w:r>
              <w:rPr>
                <w:rFonts w:ascii="Arial" w:hAnsi="Arial" w:cs="Arial"/>
                <w:sz w:val="20"/>
                <w:szCs w:val="20"/>
              </w:rPr>
              <w:t></w:t>
            </w:r>
            <w:r>
              <w:rPr>
                <w:rFonts w:ascii="Arial" w:hAnsi="Arial" w:cs="Arial"/>
                <w:sz w:val="20"/>
                <w:szCs w:val="20"/>
              </w:rPr>
              <w:t>)</w:t>
            </w:r>
            <w:r>
              <w:rPr>
                <w:rFonts w:ascii="Arial" w:hAnsi="Arial" w:cs="Arial"/>
                <w:sz w:val="20"/>
                <w:szCs w:val="20"/>
              </w:rPr>
              <w:t></w:t>
            </w:r>
            <w:r>
              <w:rPr>
                <w:rFonts w:ascii="Arial" w:hAnsi="Arial" w:cs="Arial"/>
                <w:sz w:val="20"/>
                <w:szCs w:val="20"/>
              </w:rPr>
              <w:t>, ocasion</w:t>
            </w:r>
            <w:r>
              <w:rPr>
                <w:rFonts w:ascii="Arial" w:hAnsi="Arial" w:cs="Arial"/>
                <w:sz w:val="20"/>
                <w:szCs w:val="20"/>
              </w:rPr>
              <w:t>á</w:t>
            </w:r>
            <w:r>
              <w:rPr>
                <w:rFonts w:ascii="Arial" w:hAnsi="Arial" w:cs="Arial"/>
                <w:sz w:val="20"/>
                <w:szCs w:val="20"/>
              </w:rPr>
              <w:t>ndole da</w:t>
            </w:r>
            <w:r>
              <w:rPr>
                <w:rFonts w:ascii="Arial" w:hAnsi="Arial" w:cs="Arial"/>
                <w:sz w:val="20"/>
                <w:szCs w:val="20"/>
              </w:rPr>
              <w:t>ñ</w:t>
            </w:r>
            <w:r>
              <w:rPr>
                <w:rFonts w:ascii="Arial" w:hAnsi="Arial" w:cs="Arial"/>
                <w:sz w:val="20"/>
                <w:szCs w:val="20"/>
              </w:rPr>
              <w:t>os materiales a</w:t>
            </w:r>
            <w:r>
              <w:rPr>
                <w:rFonts w:ascii="Arial" w:hAnsi="Arial" w:cs="Arial"/>
                <w:sz w:val="20"/>
                <w:szCs w:val="20"/>
              </w:rPr>
              <w:t xml:space="preserve"> su local</w:t>
            </w:r>
            <w:r>
              <w:rPr>
                <w:rFonts w:ascii="Arial" w:hAnsi="Arial" w:cs="Arial"/>
                <w:sz w:val="20"/>
                <w:szCs w:val="20"/>
              </w:rPr>
              <w:t xml:space="preserve"> </w:t>
            </w:r>
            <w:r>
              <w:rPr>
                <w:rFonts w:ascii="Arial" w:hAnsi="Arial" w:cs="Arial"/>
                <w:sz w:val="20"/>
                <w:szCs w:val="20"/>
              </w:rPr>
              <w:t xml:space="preserve">comercial, y perjuicios en su salud, en particular, en </w:t>
            </w:r>
            <w:r>
              <w:rPr>
                <w:rFonts w:ascii="Arial" w:hAnsi="Arial" w:cs="Arial"/>
                <w:sz w:val="20"/>
                <w:szCs w:val="20"/>
              </w:rPr>
              <w:t></w:t>
            </w:r>
            <w:r>
              <w:rPr>
                <w:rFonts w:ascii="Arial" w:hAnsi="Arial" w:cs="Arial"/>
                <w:sz w:val="20"/>
                <w:szCs w:val="20"/>
              </w:rPr>
              <w:t>(</w:t>
            </w:r>
            <w:r>
              <w:rPr>
                <w:rFonts w:ascii="Arial" w:hAnsi="Arial" w:cs="Arial"/>
                <w:sz w:val="20"/>
                <w:szCs w:val="20"/>
              </w:rPr>
              <w:t></w:t>
            </w:r>
            <w:r>
              <w:rPr>
                <w:rFonts w:ascii="Arial" w:hAnsi="Arial" w:cs="Arial"/>
                <w:sz w:val="20"/>
                <w:szCs w:val="20"/>
              </w:rPr>
              <w:t>) su o</w:t>
            </w:r>
            <w:r>
              <w:rPr>
                <w:rFonts w:ascii="Arial" w:hAnsi="Arial" w:cs="Arial"/>
                <w:sz w:val="20"/>
                <w:szCs w:val="20"/>
              </w:rPr>
              <w:t>í</w:t>
            </w:r>
            <w:r>
              <w:rPr>
                <w:rFonts w:ascii="Arial" w:hAnsi="Arial" w:cs="Arial"/>
                <w:sz w:val="20"/>
                <w:szCs w:val="20"/>
              </w:rPr>
              <w:t>do derecho (...)</w:t>
            </w:r>
            <w:r>
              <w:rPr>
                <w:rFonts w:ascii="Arial" w:hAnsi="Arial" w:cs="Arial"/>
                <w:sz w:val="20"/>
                <w:szCs w:val="20"/>
              </w:rPr>
              <w:t></w:t>
            </w:r>
            <w:r>
              <w:rPr>
                <w:rFonts w:ascii="Arial" w:hAnsi="Arial" w:cs="Arial"/>
                <w:sz w:val="20"/>
                <w:szCs w:val="20"/>
              </w:rPr>
              <w:t>.</w:t>
            </w:r>
          </w:p>
          <w:p w:rsidR="00000000" w:rsidRDefault="00507C32">
            <w:pPr>
              <w:pStyle w:val="Sinespaciado"/>
              <w:jc w:val="both"/>
              <w:divId w:val="1926962744"/>
              <w:rPr>
                <w:rFonts w:ascii="Arial" w:hAnsi="Arial" w:cs="Arial"/>
                <w:sz w:val="20"/>
                <w:szCs w:val="20"/>
              </w:rPr>
            </w:pPr>
          </w:p>
          <w:p w:rsidR="00000000" w:rsidRDefault="00507C32">
            <w:pPr>
              <w:jc w:val="both"/>
              <w:divId w:val="1926962744"/>
              <w:rPr>
                <w:rFonts w:ascii="Arial" w:hAnsi="Arial" w:cs="Arial"/>
                <w:sz w:val="20"/>
                <w:szCs w:val="20"/>
              </w:rPr>
            </w:pPr>
            <w:r>
              <w:rPr>
                <w:rFonts w:ascii="Arial" w:hAnsi="Arial" w:cs="Arial"/>
                <w:sz w:val="20"/>
                <w:szCs w:val="20"/>
              </w:rPr>
              <w:t>2.2. Como consecuencia de lo anterior, fue incluida en la lista de perjudicados realizada por la Unidad Administrativa Especial de Atención y Reparación Integral</w:t>
            </w:r>
            <w:r>
              <w:rPr>
                <w:rFonts w:ascii="Arial" w:hAnsi="Arial" w:cs="Arial"/>
                <w:sz w:val="20"/>
                <w:szCs w:val="20"/>
              </w:rPr>
              <w:t xml:space="preserve"> a las Víctimas, pero al trascurrir un año sin obtener ningún tipo de respuesta en punto de sus situación, radicó </w:t>
            </w:r>
            <w:r>
              <w:rPr>
                <w:rFonts w:ascii="Arial" w:hAnsi="Arial" w:cs="Arial"/>
                <w:sz w:val="20"/>
                <w:szCs w:val="20"/>
              </w:rPr>
              <w:t xml:space="preserve">ante tal entidad una petición el 15 de septiembre de 2015, </w:t>
            </w:r>
            <w:r>
              <w:rPr>
                <w:rFonts w:ascii="Arial" w:hAnsi="Arial" w:cs="Arial"/>
                <w:sz w:val="20"/>
                <w:szCs w:val="20"/>
              </w:rPr>
              <w:t></w:t>
            </w:r>
            <w:r>
              <w:rPr>
                <w:rFonts w:ascii="Arial" w:hAnsi="Arial" w:cs="Arial"/>
                <w:sz w:val="20"/>
                <w:szCs w:val="20"/>
              </w:rPr>
              <w:t>(</w:t>
            </w:r>
            <w:r>
              <w:rPr>
                <w:rFonts w:ascii="Arial" w:hAnsi="Arial" w:cs="Arial"/>
                <w:sz w:val="20"/>
                <w:szCs w:val="20"/>
              </w:rPr>
              <w:t></w:t>
            </w:r>
            <w:r>
              <w:rPr>
                <w:rFonts w:ascii="Arial" w:hAnsi="Arial" w:cs="Arial"/>
                <w:sz w:val="20"/>
                <w:szCs w:val="20"/>
              </w:rPr>
              <w:t>) solicitando[le]</w:t>
            </w:r>
            <w:r>
              <w:rPr>
                <w:rFonts w:ascii="Arial" w:hAnsi="Arial" w:cs="Arial"/>
                <w:sz w:val="20"/>
                <w:szCs w:val="20"/>
              </w:rPr>
              <w:t xml:space="preserve"> </w:t>
            </w:r>
            <w:r>
              <w:rPr>
                <w:rFonts w:ascii="Arial" w:hAnsi="Arial" w:cs="Arial"/>
                <w:sz w:val="20"/>
                <w:szCs w:val="20"/>
              </w:rPr>
              <w:t>su inclusión en el Registro Único de Víctimas (</w:t>
            </w:r>
            <w:r>
              <w:rPr>
                <w:rFonts w:ascii="Arial" w:hAnsi="Arial" w:cs="Arial"/>
                <w:sz w:val="20"/>
                <w:szCs w:val="20"/>
              </w:rPr>
              <w:t></w:t>
            </w:r>
            <w:r>
              <w:rPr>
                <w:rFonts w:ascii="Arial" w:hAnsi="Arial" w:cs="Arial"/>
                <w:sz w:val="20"/>
                <w:szCs w:val="20"/>
              </w:rPr>
              <w:t>)</w:t>
            </w:r>
            <w:r>
              <w:rPr>
                <w:rFonts w:ascii="Arial" w:hAnsi="Arial" w:cs="Arial"/>
                <w:sz w:val="20"/>
                <w:szCs w:val="20"/>
              </w:rPr>
              <w:t></w:t>
            </w:r>
            <w:r>
              <w:rPr>
                <w:rFonts w:ascii="Arial" w:hAnsi="Arial" w:cs="Arial"/>
                <w:sz w:val="20"/>
                <w:szCs w:val="20"/>
              </w:rPr>
              <w:t>, y al no re</w:t>
            </w:r>
            <w:r>
              <w:rPr>
                <w:rFonts w:ascii="Arial" w:hAnsi="Arial" w:cs="Arial"/>
                <w:sz w:val="20"/>
                <w:szCs w:val="20"/>
              </w:rPr>
              <w:t>cibir</w:t>
            </w:r>
            <w:r>
              <w:rPr>
                <w:rFonts w:ascii="Arial" w:hAnsi="Arial" w:cs="Arial"/>
                <w:sz w:val="20"/>
                <w:szCs w:val="20"/>
              </w:rPr>
              <w:t xml:space="preserve"> contestación, el pasado 26 de enero le exigió al Departamento Administrativo de </w:t>
            </w:r>
            <w:r>
              <w:rPr>
                <w:rFonts w:ascii="Arial" w:hAnsi="Arial" w:cs="Arial"/>
                <w:sz w:val="20"/>
                <w:szCs w:val="20"/>
              </w:rPr>
              <w:t xml:space="preserve">la Presidencia de la República </w:t>
            </w:r>
            <w:r>
              <w:rPr>
                <w:rFonts w:ascii="Arial" w:hAnsi="Arial" w:cs="Arial"/>
                <w:sz w:val="20"/>
                <w:szCs w:val="20"/>
              </w:rPr>
              <w:t></w:t>
            </w:r>
            <w:r>
              <w:rPr>
                <w:rFonts w:ascii="Arial" w:hAnsi="Arial" w:cs="Arial"/>
                <w:sz w:val="20"/>
                <w:szCs w:val="20"/>
              </w:rPr>
              <w:t>(</w:t>
            </w:r>
            <w:r>
              <w:rPr>
                <w:rFonts w:ascii="Arial" w:hAnsi="Arial" w:cs="Arial"/>
                <w:sz w:val="20"/>
                <w:szCs w:val="20"/>
              </w:rPr>
              <w:t></w:t>
            </w:r>
            <w:r>
              <w:rPr>
                <w:rFonts w:ascii="Arial" w:hAnsi="Arial" w:cs="Arial"/>
                <w:sz w:val="20"/>
                <w:szCs w:val="20"/>
              </w:rPr>
              <w:t>) intervenir en el asunto (</w:t>
            </w:r>
            <w:r>
              <w:rPr>
                <w:rFonts w:ascii="Arial" w:hAnsi="Arial" w:cs="Arial"/>
                <w:sz w:val="20"/>
                <w:szCs w:val="20"/>
              </w:rPr>
              <w:t></w:t>
            </w:r>
            <w:r>
              <w:rPr>
                <w:rFonts w:ascii="Arial" w:hAnsi="Arial" w:cs="Arial"/>
                <w:sz w:val="20"/>
                <w:szCs w:val="20"/>
              </w:rPr>
              <w:t>)</w:t>
            </w:r>
            <w:r>
              <w:rPr>
                <w:rFonts w:ascii="Arial" w:hAnsi="Arial" w:cs="Arial"/>
                <w:sz w:val="20"/>
                <w:szCs w:val="20"/>
              </w:rPr>
              <w:t></w:t>
            </w:r>
            <w:r>
              <w:rPr>
                <w:rFonts w:ascii="Arial" w:hAnsi="Arial" w:cs="Arial"/>
                <w:sz w:val="20"/>
                <w:szCs w:val="20"/>
              </w:rPr>
              <w:t>, quien tampoco</w:t>
            </w:r>
            <w:r>
              <w:rPr>
                <w:rFonts w:ascii="Arial" w:hAnsi="Arial" w:cs="Arial"/>
                <w:sz w:val="20"/>
                <w:szCs w:val="20"/>
              </w:rPr>
              <w:t xml:space="preserve"> atendió su reclamo. </w:t>
            </w:r>
          </w:p>
          <w:p w:rsidR="00000000" w:rsidRDefault="00507C32">
            <w:pPr>
              <w:jc w:val="both"/>
              <w:divId w:val="1926962744"/>
              <w:rPr>
                <w:rFonts w:ascii="Arial" w:hAnsi="Arial" w:cs="Arial"/>
                <w:sz w:val="20"/>
                <w:szCs w:val="20"/>
              </w:rPr>
            </w:pPr>
          </w:p>
          <w:p w:rsidR="00000000" w:rsidRDefault="00507C32">
            <w:pPr>
              <w:jc w:val="both"/>
              <w:divId w:val="1926962744"/>
              <w:rPr>
                <w:rFonts w:ascii="Arial" w:hAnsi="Arial" w:cs="Arial"/>
                <w:sz w:val="20"/>
                <w:szCs w:val="20"/>
              </w:rPr>
            </w:pPr>
            <w:r>
              <w:rPr>
                <w:rFonts w:ascii="Arial" w:hAnsi="Arial" w:cs="Arial"/>
                <w:sz w:val="20"/>
                <w:szCs w:val="20"/>
              </w:rPr>
              <w:t xml:space="preserve">3. Por lo antelado, implora se le solucionen sus requerimientos.    </w:t>
            </w:r>
            <w:r>
              <w:rPr>
                <w:rFonts w:ascii="Arial" w:hAnsi="Arial" w:cs="Arial"/>
                <w:sz w:val="20"/>
                <w:szCs w:val="20"/>
              </w:rPr>
              <w:t xml:space="preserve">     </w:t>
            </w:r>
          </w:p>
          <w:p w:rsidR="00000000" w:rsidRDefault="00507C32">
            <w:pPr>
              <w:pStyle w:val="Sinespaciado"/>
              <w:jc w:val="both"/>
              <w:divId w:val="1926962744"/>
              <w:rPr>
                <w:rFonts w:ascii="Arial" w:hAnsi="Arial" w:cs="Arial"/>
                <w:sz w:val="20"/>
                <w:szCs w:val="20"/>
              </w:rPr>
            </w:pPr>
          </w:p>
          <w:p w:rsidR="00000000" w:rsidRDefault="00507C32">
            <w:pPr>
              <w:pStyle w:val="Sinespaciado"/>
              <w:jc w:val="both"/>
              <w:divId w:val="1926962744"/>
              <w:rPr>
                <w:rFonts w:ascii="Arial" w:hAnsi="Arial" w:cs="Arial"/>
                <w:sz w:val="20"/>
                <w:szCs w:val="20"/>
              </w:rPr>
            </w:pPr>
          </w:p>
          <w:p w:rsidR="00000000" w:rsidRDefault="00507C32">
            <w:pPr>
              <w:pStyle w:val="Sinespaciado"/>
              <w:jc w:val="both"/>
              <w:divId w:val="1926962744"/>
              <w:rPr>
                <w:rFonts w:ascii="Arial" w:hAnsi="Arial" w:cs="Arial"/>
                <w:sz w:val="20"/>
                <w:szCs w:val="20"/>
              </w:rPr>
            </w:pPr>
          </w:p>
          <w:p w:rsidR="00000000" w:rsidRDefault="00507C32">
            <w:pPr>
              <w:tabs>
                <w:tab w:val="left" w:pos="2975"/>
              </w:tabs>
              <w:jc w:val="both"/>
              <w:divId w:val="1926962744"/>
              <w:rPr>
                <w:rFonts w:ascii="Arial" w:hAnsi="Arial" w:cs="Arial"/>
                <w:sz w:val="20"/>
                <w:szCs w:val="20"/>
              </w:rPr>
            </w:pPr>
            <w:r>
              <w:rPr>
                <w:rFonts w:ascii="Arial" w:hAnsi="Arial" w:cs="Arial"/>
                <w:sz w:val="20"/>
                <w:szCs w:val="20"/>
              </w:rPr>
              <w:t>1.1. Respuesta de los accionados</w:t>
            </w:r>
          </w:p>
          <w:p w:rsidR="00000000" w:rsidRDefault="00507C32">
            <w:pPr>
              <w:pStyle w:val="Sinespaciado"/>
              <w:jc w:val="both"/>
              <w:divId w:val="1926962744"/>
              <w:rPr>
                <w:rFonts w:ascii="Arial" w:hAnsi="Arial" w:cs="Arial"/>
                <w:sz w:val="20"/>
                <w:szCs w:val="20"/>
              </w:rPr>
            </w:pPr>
          </w:p>
          <w:p w:rsidR="00000000" w:rsidRDefault="00507C32">
            <w:pPr>
              <w:pStyle w:val="Sinespaciado"/>
              <w:jc w:val="both"/>
              <w:divId w:val="1926962744"/>
              <w:rPr>
                <w:rFonts w:ascii="Arial" w:hAnsi="Arial" w:cs="Arial"/>
                <w:sz w:val="20"/>
                <w:szCs w:val="20"/>
              </w:rPr>
            </w:pPr>
          </w:p>
          <w:p w:rsidR="00000000" w:rsidRDefault="00507C32">
            <w:pPr>
              <w:jc w:val="both"/>
              <w:divId w:val="1926962744"/>
              <w:rPr>
                <w:rFonts w:ascii="Arial" w:hAnsi="Arial" w:cs="Arial"/>
                <w:sz w:val="20"/>
                <w:szCs w:val="20"/>
              </w:rPr>
            </w:pPr>
            <w:r>
              <w:rPr>
                <w:rFonts w:ascii="Arial" w:hAnsi="Arial" w:cs="Arial"/>
                <w:sz w:val="20"/>
                <w:szCs w:val="20"/>
              </w:rPr>
              <w:t xml:space="preserve">El Departamento Administrativo de la Presidencia de la República y el Ministerio del Interior, en escritos separados, aseveraron que dentro de sus facultades legales,  </w:t>
            </w:r>
            <w:r>
              <w:rPr>
                <w:rFonts w:ascii="Arial" w:hAnsi="Arial" w:cs="Arial"/>
                <w:sz w:val="20"/>
                <w:szCs w:val="20"/>
              </w:rPr>
              <w:t></w:t>
            </w:r>
            <w:r>
              <w:rPr>
                <w:rFonts w:ascii="Arial" w:hAnsi="Arial" w:cs="Arial"/>
                <w:sz w:val="20"/>
                <w:szCs w:val="20"/>
              </w:rPr>
              <w:t>(</w:t>
            </w:r>
            <w:r>
              <w:rPr>
                <w:rFonts w:ascii="Arial" w:hAnsi="Arial" w:cs="Arial"/>
                <w:sz w:val="20"/>
                <w:szCs w:val="20"/>
              </w:rPr>
              <w:t></w:t>
            </w:r>
            <w:r>
              <w:rPr>
                <w:rFonts w:ascii="Arial" w:hAnsi="Arial" w:cs="Arial"/>
                <w:sz w:val="20"/>
                <w:szCs w:val="20"/>
              </w:rPr>
              <w:t>) no se encuentran las relacionadas con l</w:t>
            </w:r>
            <w:r>
              <w:rPr>
                <w:rFonts w:ascii="Arial" w:hAnsi="Arial" w:cs="Arial"/>
                <w:sz w:val="20"/>
                <w:szCs w:val="20"/>
              </w:rPr>
              <w:t>as</w:t>
            </w:r>
            <w:r>
              <w:rPr>
                <w:rFonts w:ascii="Arial" w:hAnsi="Arial" w:cs="Arial"/>
                <w:sz w:val="20"/>
                <w:szCs w:val="20"/>
              </w:rPr>
              <w:t xml:space="preserve"> </w:t>
            </w:r>
            <w:r>
              <w:rPr>
                <w:rFonts w:ascii="Arial" w:hAnsi="Arial" w:cs="Arial"/>
                <w:sz w:val="20"/>
                <w:szCs w:val="20"/>
              </w:rPr>
              <w:t>pretensiones de la tutela (</w:t>
            </w:r>
            <w:r>
              <w:rPr>
                <w:rFonts w:ascii="Arial" w:hAnsi="Arial" w:cs="Arial"/>
                <w:sz w:val="20"/>
                <w:szCs w:val="20"/>
              </w:rPr>
              <w:t></w:t>
            </w:r>
            <w:r>
              <w:rPr>
                <w:rFonts w:ascii="Arial" w:hAnsi="Arial" w:cs="Arial"/>
                <w:sz w:val="20"/>
                <w:szCs w:val="20"/>
              </w:rPr>
              <w:t>)</w:t>
            </w:r>
            <w:r>
              <w:rPr>
                <w:rFonts w:ascii="Arial" w:hAnsi="Arial" w:cs="Arial"/>
                <w:sz w:val="20"/>
                <w:szCs w:val="20"/>
              </w:rPr>
              <w:t></w:t>
            </w:r>
            <w:r>
              <w:rPr>
                <w:rFonts w:ascii="Arial" w:hAnsi="Arial" w:cs="Arial"/>
                <w:sz w:val="20"/>
                <w:szCs w:val="20"/>
              </w:rPr>
              <w:t xml:space="preserve">, pues </w:t>
            </w:r>
            <w:r>
              <w:rPr>
                <w:rFonts w:ascii="Arial" w:hAnsi="Arial" w:cs="Arial"/>
                <w:sz w:val="20"/>
                <w:szCs w:val="20"/>
              </w:rPr>
              <w:t>é</w:t>
            </w:r>
            <w:r>
              <w:rPr>
                <w:rFonts w:ascii="Arial" w:hAnsi="Arial" w:cs="Arial"/>
                <w:sz w:val="20"/>
                <w:szCs w:val="20"/>
              </w:rPr>
              <w:t>stas deben ser resueltas por la Unidad</w:t>
            </w:r>
            <w:r>
              <w:rPr>
                <w:rFonts w:ascii="Arial" w:hAnsi="Arial" w:cs="Arial"/>
                <w:sz w:val="20"/>
                <w:szCs w:val="20"/>
              </w:rPr>
              <w:t xml:space="preserve"> Administrativa Especial para la Atención y Reparación Integral a las Víctimas.</w:t>
            </w:r>
          </w:p>
          <w:p w:rsidR="00000000" w:rsidRDefault="00507C32">
            <w:pPr>
              <w:jc w:val="both"/>
              <w:divId w:val="1926962744"/>
              <w:rPr>
                <w:rFonts w:ascii="Arial" w:hAnsi="Arial" w:cs="Arial"/>
                <w:sz w:val="20"/>
                <w:szCs w:val="20"/>
              </w:rPr>
            </w:pPr>
          </w:p>
          <w:p w:rsidR="00000000" w:rsidRDefault="00507C32">
            <w:pPr>
              <w:jc w:val="both"/>
              <w:divId w:val="1926962744"/>
              <w:rPr>
                <w:rFonts w:ascii="Arial" w:hAnsi="Arial" w:cs="Arial"/>
                <w:sz w:val="20"/>
                <w:szCs w:val="20"/>
              </w:rPr>
            </w:pPr>
            <w:r>
              <w:rPr>
                <w:rFonts w:ascii="Arial" w:hAnsi="Arial" w:cs="Arial"/>
                <w:sz w:val="20"/>
                <w:szCs w:val="20"/>
              </w:rPr>
              <w:t>El otro ente convocado guardó silencio.</w:t>
            </w:r>
          </w:p>
          <w:p w:rsidR="00000000" w:rsidRDefault="00507C32">
            <w:pPr>
              <w:pStyle w:val="Sinespaciado"/>
              <w:jc w:val="both"/>
              <w:divId w:val="1926962744"/>
              <w:rPr>
                <w:rFonts w:ascii="Arial" w:hAnsi="Arial" w:cs="Arial"/>
                <w:sz w:val="20"/>
                <w:szCs w:val="20"/>
              </w:rPr>
            </w:pPr>
          </w:p>
          <w:p w:rsidR="00000000" w:rsidRDefault="00507C32">
            <w:pPr>
              <w:pStyle w:val="Sinespaciado"/>
              <w:jc w:val="both"/>
              <w:divId w:val="1926962744"/>
              <w:rPr>
                <w:rFonts w:ascii="Arial" w:hAnsi="Arial" w:cs="Arial"/>
                <w:sz w:val="20"/>
                <w:szCs w:val="20"/>
              </w:rPr>
            </w:pPr>
          </w:p>
          <w:p w:rsidR="00000000" w:rsidRDefault="00507C32">
            <w:pPr>
              <w:tabs>
                <w:tab w:val="left" w:pos="2127"/>
              </w:tabs>
              <w:jc w:val="both"/>
              <w:divId w:val="1926962744"/>
              <w:rPr>
                <w:rFonts w:ascii="Arial" w:hAnsi="Arial" w:cs="Arial"/>
                <w:sz w:val="20"/>
                <w:szCs w:val="20"/>
              </w:rPr>
            </w:pPr>
            <w:r>
              <w:rPr>
                <w:rFonts w:ascii="Arial" w:hAnsi="Arial" w:cs="Arial"/>
                <w:sz w:val="20"/>
                <w:szCs w:val="20"/>
              </w:rPr>
              <w:t>1.2. La sentencia impugnada</w:t>
            </w:r>
          </w:p>
          <w:p w:rsidR="00000000" w:rsidRDefault="00507C32">
            <w:pPr>
              <w:pStyle w:val="Sinespaciado"/>
              <w:jc w:val="both"/>
              <w:divId w:val="1926962744"/>
              <w:rPr>
                <w:rFonts w:ascii="Arial" w:hAnsi="Arial" w:cs="Arial"/>
                <w:sz w:val="20"/>
                <w:szCs w:val="20"/>
              </w:rPr>
            </w:pPr>
          </w:p>
          <w:p w:rsidR="00000000" w:rsidRDefault="00507C32">
            <w:pPr>
              <w:pStyle w:val="Sinespaciado"/>
              <w:jc w:val="both"/>
              <w:divId w:val="1926962744"/>
              <w:rPr>
                <w:rFonts w:ascii="Arial" w:hAnsi="Arial" w:cs="Arial"/>
                <w:sz w:val="20"/>
                <w:szCs w:val="20"/>
              </w:rPr>
            </w:pPr>
          </w:p>
          <w:p w:rsidR="00000000" w:rsidRDefault="00507C32">
            <w:pPr>
              <w:pStyle w:val="Textoindependiente"/>
              <w:spacing w:after="0"/>
              <w:jc w:val="both"/>
              <w:divId w:val="1926962744"/>
              <w:rPr>
                <w:rFonts w:ascii="Arial" w:hAnsi="Arial" w:cs="Arial"/>
                <w:sz w:val="20"/>
                <w:szCs w:val="20"/>
              </w:rPr>
            </w:pPr>
            <w:r>
              <w:rPr>
                <w:rFonts w:ascii="Arial" w:hAnsi="Arial" w:cs="Arial"/>
                <w:sz w:val="20"/>
                <w:szCs w:val="20"/>
              </w:rPr>
              <w:t xml:space="preserve">Concedió </w:t>
            </w:r>
            <w:r>
              <w:rPr>
                <w:rFonts w:ascii="Arial" w:hAnsi="Arial" w:cs="Arial"/>
                <w:sz w:val="20"/>
                <w:szCs w:val="20"/>
              </w:rPr>
              <w:t>la salvaguarda por transgresión al derecho de petición, tras constatar que las autoridades querelladas no habían dado respuesta a los planteamientos de la actora.</w:t>
            </w:r>
          </w:p>
          <w:p w:rsidR="00000000" w:rsidRDefault="00507C32">
            <w:pPr>
              <w:pStyle w:val="Sinespaciado"/>
              <w:jc w:val="both"/>
              <w:divId w:val="1926962744"/>
              <w:rPr>
                <w:rFonts w:ascii="Arial" w:hAnsi="Arial" w:cs="Arial"/>
                <w:sz w:val="20"/>
                <w:szCs w:val="20"/>
              </w:rPr>
            </w:pPr>
          </w:p>
          <w:p w:rsidR="00000000" w:rsidRDefault="00507C32">
            <w:pPr>
              <w:pStyle w:val="Textoindependiente"/>
              <w:spacing w:after="0"/>
              <w:jc w:val="both"/>
              <w:divId w:val="1926962744"/>
              <w:rPr>
                <w:rFonts w:ascii="Arial" w:hAnsi="Arial" w:cs="Arial"/>
                <w:sz w:val="20"/>
                <w:szCs w:val="20"/>
              </w:rPr>
            </w:pPr>
            <w:r>
              <w:rPr>
                <w:rFonts w:ascii="Arial" w:hAnsi="Arial" w:cs="Arial"/>
                <w:sz w:val="20"/>
                <w:szCs w:val="20"/>
              </w:rPr>
              <w:t>En consecuencia, ordenó:</w:t>
            </w:r>
          </w:p>
          <w:p w:rsidR="00000000" w:rsidRDefault="00507C32">
            <w:pPr>
              <w:pStyle w:val="Sinespaciado"/>
              <w:jc w:val="both"/>
              <w:divId w:val="1926962744"/>
              <w:rPr>
                <w:rFonts w:ascii="Arial" w:hAnsi="Arial" w:cs="Arial"/>
                <w:sz w:val="20"/>
                <w:szCs w:val="20"/>
              </w:rPr>
            </w:pPr>
          </w:p>
          <w:p w:rsidR="00000000" w:rsidRDefault="00507C32">
            <w:pPr>
              <w:pStyle w:val="Textoindependiente"/>
              <w:spacing w:after="0"/>
              <w:jc w:val="both"/>
              <w:divId w:val="1926962744"/>
              <w:rPr>
                <w:rFonts w:ascii="Arial" w:hAnsi="Arial" w:cs="Arial"/>
                <w:sz w:val="20"/>
                <w:szCs w:val="20"/>
              </w:rPr>
            </w:pPr>
            <w:r>
              <w:rPr>
                <w:rFonts w:ascii="Arial" w:hAnsi="Arial" w:cs="Arial"/>
                <w:sz w:val="20"/>
                <w:szCs w:val="20"/>
              </w:rPr>
              <w:t></w:t>
            </w:r>
            <w:r>
              <w:rPr>
                <w:rFonts w:ascii="Arial" w:hAnsi="Arial" w:cs="Arial"/>
                <w:sz w:val="20"/>
                <w:szCs w:val="20"/>
              </w:rPr>
              <w:t>(</w:t>
            </w:r>
            <w:r>
              <w:rPr>
                <w:rFonts w:ascii="Arial" w:hAnsi="Arial" w:cs="Arial"/>
                <w:sz w:val="20"/>
                <w:szCs w:val="20"/>
              </w:rPr>
              <w:t></w:t>
            </w:r>
            <w:r>
              <w:rPr>
                <w:rFonts w:ascii="Arial" w:hAnsi="Arial" w:cs="Arial"/>
                <w:sz w:val="20"/>
                <w:szCs w:val="20"/>
              </w:rPr>
              <w:t>) a</w:t>
            </w:r>
            <w:r>
              <w:rPr>
                <w:rFonts w:ascii="Arial" w:hAnsi="Arial" w:cs="Arial"/>
                <w:sz w:val="20"/>
                <w:szCs w:val="20"/>
              </w:rPr>
              <w:t xml:space="preserve"> la Unidad Administrativa Especial para la Atención y Repara</w:t>
            </w:r>
            <w:r>
              <w:rPr>
                <w:rFonts w:ascii="Arial" w:hAnsi="Arial" w:cs="Arial"/>
                <w:sz w:val="20"/>
                <w:szCs w:val="20"/>
              </w:rPr>
              <w:t xml:space="preserve">ción a las Víctimas, por conducto de la Dirección de Registro y Gestión de la Información y Dirección de Gestión Social y Humanitaria y al Departamento Administrativo de la Presidencia de la República, que en el término de cuarenta y ocho horas siguientes </w:t>
            </w:r>
            <w:r>
              <w:rPr>
                <w:rFonts w:ascii="Arial" w:hAnsi="Arial" w:cs="Arial"/>
                <w:sz w:val="20"/>
                <w:szCs w:val="20"/>
              </w:rPr>
              <w:t>a la notificación de esta providencia, emitan respuesta clara, de fondo y congruente con lo pedido por la accionante en cuanto a la inclusión en el Registro Único de Víctimas, la entrega de la ayuda humanitaria y la intervención de la Presidencia de la Rep</w:t>
            </w:r>
            <w:r>
              <w:rPr>
                <w:rFonts w:ascii="Arial" w:hAnsi="Arial" w:cs="Arial"/>
                <w:sz w:val="20"/>
                <w:szCs w:val="20"/>
              </w:rPr>
              <w:t xml:space="preserve">ública, respectivamente. Los demás </w:t>
            </w:r>
            <w:r>
              <w:rPr>
                <w:rFonts w:ascii="Arial" w:hAnsi="Arial" w:cs="Arial"/>
                <w:sz w:val="20"/>
                <w:szCs w:val="20"/>
              </w:rPr>
              <w:t>entes vinculados quedan excluidos de los efectos de esta decisión (</w:t>
            </w:r>
            <w:r>
              <w:rPr>
                <w:rFonts w:ascii="Arial" w:hAnsi="Arial" w:cs="Arial"/>
                <w:sz w:val="20"/>
                <w:szCs w:val="20"/>
              </w:rPr>
              <w:t></w:t>
            </w:r>
            <w:r>
              <w:rPr>
                <w:rFonts w:ascii="Arial" w:hAnsi="Arial" w:cs="Arial"/>
                <w:sz w:val="20"/>
                <w:szCs w:val="20"/>
              </w:rPr>
              <w:t>)</w:t>
            </w:r>
            <w:r>
              <w:rPr>
                <w:rFonts w:ascii="Arial" w:hAnsi="Arial" w:cs="Arial"/>
                <w:sz w:val="20"/>
                <w:szCs w:val="20"/>
              </w:rPr>
              <w:t></w:t>
            </w:r>
            <w:r>
              <w:rPr>
                <w:rFonts w:ascii="Arial" w:hAnsi="Arial" w:cs="Arial"/>
                <w:sz w:val="20"/>
                <w:szCs w:val="20"/>
              </w:rPr>
              <w:t xml:space="preserve"> (fls. 74</w:t>
            </w:r>
            <w:r>
              <w:rPr>
                <w:rFonts w:ascii="Arial" w:hAnsi="Arial" w:cs="Arial"/>
                <w:sz w:val="20"/>
                <w:szCs w:val="20"/>
              </w:rPr>
              <w:t xml:space="preserve"> a 78, cdno. 1). </w:t>
            </w:r>
          </w:p>
          <w:p w:rsidR="00000000" w:rsidRDefault="00507C32">
            <w:pPr>
              <w:pStyle w:val="Sinespaciado"/>
              <w:jc w:val="both"/>
              <w:divId w:val="1926962744"/>
              <w:rPr>
                <w:rFonts w:ascii="Arial" w:hAnsi="Arial" w:cs="Arial"/>
                <w:sz w:val="20"/>
                <w:szCs w:val="20"/>
              </w:rPr>
            </w:pPr>
          </w:p>
          <w:p w:rsidR="00000000" w:rsidRDefault="00507C32">
            <w:pPr>
              <w:pStyle w:val="Sinespaciado"/>
              <w:jc w:val="both"/>
              <w:divId w:val="1926962744"/>
              <w:rPr>
                <w:rFonts w:ascii="Arial" w:hAnsi="Arial" w:cs="Arial"/>
                <w:sz w:val="20"/>
                <w:szCs w:val="20"/>
              </w:rPr>
            </w:pPr>
          </w:p>
          <w:p w:rsidR="00000000" w:rsidRDefault="00507C32">
            <w:pPr>
              <w:pStyle w:val="Sinespaciado"/>
              <w:jc w:val="both"/>
              <w:divId w:val="1926962744"/>
              <w:rPr>
                <w:rFonts w:ascii="Arial" w:hAnsi="Arial" w:cs="Arial"/>
                <w:sz w:val="20"/>
                <w:szCs w:val="20"/>
              </w:rPr>
            </w:pPr>
          </w:p>
          <w:p w:rsidR="00000000" w:rsidRDefault="00507C32">
            <w:pPr>
              <w:jc w:val="both"/>
              <w:divId w:val="1926962744"/>
              <w:rPr>
                <w:rFonts w:ascii="Arial" w:hAnsi="Arial" w:cs="Arial"/>
                <w:sz w:val="20"/>
                <w:szCs w:val="20"/>
              </w:rPr>
            </w:pPr>
            <w:r>
              <w:rPr>
                <w:rFonts w:ascii="Arial" w:hAnsi="Arial" w:cs="Arial"/>
                <w:sz w:val="20"/>
                <w:szCs w:val="20"/>
              </w:rPr>
              <w:t>1.3. La impugnación</w:t>
            </w:r>
          </w:p>
          <w:p w:rsidR="00000000" w:rsidRDefault="00507C32">
            <w:pPr>
              <w:pStyle w:val="Sinespaciado"/>
              <w:jc w:val="both"/>
              <w:divId w:val="1926962744"/>
              <w:rPr>
                <w:rFonts w:ascii="Arial" w:hAnsi="Arial" w:cs="Arial"/>
                <w:sz w:val="20"/>
                <w:szCs w:val="20"/>
              </w:rPr>
            </w:pPr>
          </w:p>
          <w:p w:rsidR="00000000" w:rsidRDefault="00507C32">
            <w:pPr>
              <w:jc w:val="both"/>
              <w:divId w:val="1926962744"/>
              <w:rPr>
                <w:rFonts w:ascii="Arial" w:hAnsi="Arial" w:cs="Arial"/>
                <w:bCs/>
                <w:sz w:val="20"/>
                <w:szCs w:val="20"/>
              </w:rPr>
            </w:pPr>
            <w:r>
              <w:rPr>
                <w:rFonts w:ascii="Arial" w:hAnsi="Arial" w:cs="Arial"/>
                <w:bCs/>
                <w:sz w:val="20"/>
                <w:szCs w:val="20"/>
              </w:rPr>
              <w:t xml:space="preserve">La incoó el </w:t>
            </w:r>
            <w:r>
              <w:rPr>
                <w:rFonts w:ascii="Arial" w:hAnsi="Arial" w:cs="Arial"/>
                <w:sz w:val="20"/>
                <w:szCs w:val="20"/>
              </w:rPr>
              <w:t xml:space="preserve">Departamento </w:t>
            </w:r>
            <w:r>
              <w:rPr>
                <w:rFonts w:ascii="Arial" w:hAnsi="Arial" w:cs="Arial"/>
                <w:sz w:val="20"/>
                <w:szCs w:val="20"/>
              </w:rPr>
              <w:t xml:space="preserve">Administrativo para la Prosperidad Social -DPS, manifestando que </w:t>
            </w:r>
            <w:r>
              <w:rPr>
                <w:rFonts w:ascii="Arial" w:hAnsi="Arial" w:cs="Arial"/>
                <w:sz w:val="20"/>
                <w:szCs w:val="20"/>
              </w:rPr>
              <w:t></w:t>
            </w:r>
            <w:r>
              <w:rPr>
                <w:rFonts w:ascii="Arial" w:hAnsi="Arial" w:cs="Arial"/>
                <w:sz w:val="20"/>
                <w:szCs w:val="20"/>
              </w:rPr>
              <w:t>(</w:t>
            </w:r>
            <w:r>
              <w:rPr>
                <w:rFonts w:ascii="Arial" w:hAnsi="Arial" w:cs="Arial"/>
                <w:sz w:val="20"/>
                <w:szCs w:val="20"/>
              </w:rPr>
              <w:t></w:t>
            </w:r>
            <w:r>
              <w:rPr>
                <w:rFonts w:ascii="Arial" w:hAnsi="Arial" w:cs="Arial"/>
                <w:sz w:val="20"/>
                <w:szCs w:val="20"/>
              </w:rPr>
              <w:t>) no ti</w:t>
            </w:r>
            <w:r>
              <w:rPr>
                <w:rFonts w:ascii="Arial" w:hAnsi="Arial" w:cs="Arial"/>
                <w:sz w:val="20"/>
                <w:szCs w:val="20"/>
              </w:rPr>
              <w:t>ene</w:t>
            </w:r>
            <w:r>
              <w:rPr>
                <w:rFonts w:ascii="Arial" w:hAnsi="Arial" w:cs="Arial"/>
                <w:sz w:val="20"/>
                <w:szCs w:val="20"/>
              </w:rPr>
              <w:t xml:space="preserve"> facultades para reconocer y prestar ayuda humanitaria a las personas víctimas del conflicto armado interno colombiano</w:t>
            </w:r>
            <w:r>
              <w:rPr>
                <w:rFonts w:ascii="Arial" w:hAnsi="Arial" w:cs="Arial"/>
                <w:bCs/>
                <w:sz w:val="20"/>
                <w:szCs w:val="20"/>
              </w:rPr>
              <w:t xml:space="preserve"> </w:t>
            </w:r>
            <w:r>
              <w:rPr>
                <w:rFonts w:ascii="Arial" w:hAnsi="Arial" w:cs="Arial"/>
                <w:bCs/>
                <w:sz w:val="20"/>
                <w:szCs w:val="20"/>
              </w:rPr>
              <w:t>(</w:t>
            </w:r>
            <w:r>
              <w:rPr>
                <w:rFonts w:ascii="Arial" w:hAnsi="Arial" w:cs="Arial"/>
                <w:bCs/>
                <w:sz w:val="20"/>
                <w:szCs w:val="20"/>
              </w:rPr>
              <w:t></w:t>
            </w:r>
            <w:r>
              <w:rPr>
                <w:rFonts w:ascii="Arial" w:hAnsi="Arial" w:cs="Arial"/>
                <w:bCs/>
                <w:sz w:val="20"/>
                <w:szCs w:val="20"/>
              </w:rPr>
              <w:t>)</w:t>
            </w:r>
            <w:r>
              <w:rPr>
                <w:rFonts w:ascii="Arial" w:hAnsi="Arial" w:cs="Arial"/>
                <w:bCs/>
                <w:sz w:val="20"/>
                <w:szCs w:val="20"/>
              </w:rPr>
              <w:t></w:t>
            </w:r>
            <w:r>
              <w:rPr>
                <w:rFonts w:ascii="Arial" w:hAnsi="Arial" w:cs="Arial"/>
                <w:bCs/>
                <w:sz w:val="20"/>
                <w:szCs w:val="20"/>
              </w:rPr>
              <w:t xml:space="preserve"> </w:t>
            </w:r>
            <w:r>
              <w:rPr>
                <w:rFonts w:ascii="Arial" w:hAnsi="Arial" w:cs="Arial"/>
                <w:sz w:val="20"/>
                <w:szCs w:val="20"/>
              </w:rPr>
              <w:t xml:space="preserve">(fls. 73 a 76, cdno. 1). </w:t>
            </w:r>
          </w:p>
          <w:p w:rsidR="00000000" w:rsidRDefault="00507C32">
            <w:pPr>
              <w:pStyle w:val="Sinespaciado"/>
              <w:jc w:val="both"/>
              <w:divId w:val="1926962744"/>
              <w:rPr>
                <w:rFonts w:ascii="Arial" w:hAnsi="Arial" w:cs="Arial"/>
                <w:sz w:val="20"/>
                <w:szCs w:val="20"/>
              </w:rPr>
            </w:pPr>
          </w:p>
          <w:p w:rsidR="00000000" w:rsidRDefault="00507C32">
            <w:pPr>
              <w:pStyle w:val="Sinespaciado"/>
              <w:jc w:val="both"/>
              <w:divId w:val="1926962744"/>
              <w:rPr>
                <w:rFonts w:ascii="Arial" w:hAnsi="Arial" w:cs="Arial"/>
                <w:sz w:val="20"/>
                <w:szCs w:val="20"/>
              </w:rPr>
            </w:pPr>
          </w:p>
          <w:p w:rsidR="00000000" w:rsidRDefault="00507C32">
            <w:pPr>
              <w:pStyle w:val="Textoindependiente"/>
              <w:numPr>
                <w:ilvl w:val="0"/>
                <w:numId w:val="2"/>
              </w:numPr>
              <w:tabs>
                <w:tab w:val="left" w:pos="709"/>
              </w:tabs>
              <w:spacing w:after="0"/>
              <w:ind w:left="0" w:firstLine="0"/>
              <w:jc w:val="both"/>
              <w:divId w:val="1926962744"/>
              <w:rPr>
                <w:rFonts w:ascii="Arial" w:hAnsi="Arial" w:cs="Arial"/>
                <w:bCs/>
                <w:sz w:val="20"/>
                <w:szCs w:val="20"/>
              </w:rPr>
            </w:pPr>
            <w:r>
              <w:rPr>
                <w:rFonts w:ascii="Arial" w:hAnsi="Arial" w:cs="Arial"/>
                <w:bCs/>
                <w:sz w:val="20"/>
                <w:szCs w:val="20"/>
              </w:rPr>
              <w:t>CONSIDERACIONES</w:t>
            </w:r>
          </w:p>
          <w:p w:rsidR="00000000" w:rsidRDefault="00507C32">
            <w:pPr>
              <w:pStyle w:val="Sinespaciado"/>
              <w:jc w:val="both"/>
              <w:divId w:val="1926962744"/>
              <w:rPr>
                <w:rFonts w:ascii="Arial" w:hAnsi="Arial" w:cs="Arial"/>
                <w:bCs/>
                <w:sz w:val="20"/>
                <w:szCs w:val="20"/>
                <w:lang w:val="es-MX" w:eastAsia="es-CO"/>
              </w:rPr>
            </w:pPr>
          </w:p>
          <w:p w:rsidR="00000000" w:rsidRDefault="00507C32">
            <w:pPr>
              <w:pStyle w:val="Sinespaciado"/>
              <w:jc w:val="both"/>
              <w:divId w:val="1926962744"/>
              <w:rPr>
                <w:rFonts w:ascii="Arial" w:hAnsi="Arial" w:cs="Arial"/>
                <w:sz w:val="20"/>
                <w:szCs w:val="20"/>
              </w:rPr>
            </w:pPr>
          </w:p>
          <w:p w:rsidR="00000000" w:rsidRDefault="00507C32">
            <w:pPr>
              <w:jc w:val="both"/>
              <w:divId w:val="1926962744"/>
              <w:rPr>
                <w:rFonts w:ascii="Arial" w:hAnsi="Arial" w:cs="Arial"/>
                <w:sz w:val="20"/>
                <w:szCs w:val="20"/>
              </w:rPr>
            </w:pPr>
            <w:r>
              <w:rPr>
                <w:rFonts w:ascii="Arial" w:hAnsi="Arial" w:cs="Arial"/>
                <w:sz w:val="20"/>
                <w:szCs w:val="20"/>
              </w:rPr>
              <w:t xml:space="preserve">1. Sobre el derecho de petición esta Corporación ha resaltado </w:t>
            </w:r>
            <w:r>
              <w:rPr>
                <w:rFonts w:ascii="Arial" w:hAnsi="Arial" w:cs="Arial"/>
                <w:bCs/>
                <w:sz w:val="20"/>
                <w:szCs w:val="20"/>
                <w:lang w:val="es-ES_tradnl"/>
              </w:rPr>
              <w:t>su carácter fundament</w:t>
            </w:r>
            <w:r>
              <w:rPr>
                <w:rFonts w:ascii="Arial" w:hAnsi="Arial" w:cs="Arial"/>
                <w:bCs/>
                <w:sz w:val="20"/>
                <w:szCs w:val="20"/>
                <w:lang w:val="es-ES_tradnl"/>
              </w:rPr>
              <w:t xml:space="preserve">al por expreso reconocimiento del artículo 23 de la Constitución Política. </w:t>
            </w:r>
          </w:p>
          <w:p w:rsidR="00000000" w:rsidRDefault="00507C32">
            <w:pPr>
              <w:pStyle w:val="Sinespaciado"/>
              <w:jc w:val="both"/>
              <w:divId w:val="1926962744"/>
              <w:rPr>
                <w:rFonts w:ascii="Arial" w:hAnsi="Arial" w:cs="Arial"/>
                <w:sz w:val="20"/>
                <w:szCs w:val="20"/>
                <w:lang w:val="es-ES_tradnl"/>
              </w:rPr>
            </w:pPr>
            <w:r>
              <w:rPr>
                <w:rFonts w:ascii="Arial" w:hAnsi="Arial" w:cs="Arial"/>
                <w:sz w:val="20"/>
                <w:szCs w:val="20"/>
                <w:lang w:val="es-ES_tradnl"/>
              </w:rPr>
              <w:tab/>
            </w:r>
          </w:p>
          <w:p w:rsidR="00000000" w:rsidRDefault="00507C32">
            <w:pPr>
              <w:jc w:val="both"/>
              <w:divId w:val="1926962744"/>
              <w:rPr>
                <w:rFonts w:ascii="Arial" w:hAnsi="Arial" w:cs="Arial"/>
                <w:bCs/>
                <w:sz w:val="20"/>
                <w:szCs w:val="20"/>
                <w:lang w:val="es-ES_tradnl"/>
              </w:rPr>
            </w:pPr>
            <w:r>
              <w:rPr>
                <w:rFonts w:ascii="Arial" w:hAnsi="Arial" w:cs="Arial"/>
                <w:bCs/>
                <w:sz w:val="20"/>
                <w:szCs w:val="20"/>
                <w:lang w:val="es-ES_tradnl"/>
              </w:rPr>
              <w:t xml:space="preserve">Esa garantía se concreta en la posibilidad de presentar solicitudes respetuosas a las autoridades y particulares para </w:t>
            </w:r>
            <w:r>
              <w:rPr>
                <w:rFonts w:ascii="Arial" w:hAnsi="Arial" w:cs="Arial"/>
                <w:bCs/>
                <w:sz w:val="20"/>
                <w:szCs w:val="20"/>
                <w:lang w:val="es-ES_tradnl"/>
              </w:rPr>
              <w:t>obtener respuestas oportunas, completas y adecuadas. Éstas deben corresponder a lo solicitado y notificarse en los precisos plazos establecidos por la Ley</w:t>
            </w:r>
            <w:r>
              <w:rPr>
                <w:rFonts w:ascii="Arial" w:eastAsia="Calibri" w:hAnsi="Arial" w:cs="Arial"/>
                <w:sz w:val="20"/>
                <w:szCs w:val="20"/>
                <w:vertAlign w:val="superscript"/>
              </w:rPr>
              <w:footnoteReference w:id="1"/>
            </w:r>
            <w:r>
              <w:rPr>
                <w:rFonts w:ascii="Arial" w:hAnsi="Arial" w:cs="Arial"/>
                <w:bCs/>
                <w:sz w:val="20"/>
                <w:szCs w:val="20"/>
                <w:lang w:val="es-ES_tradnl"/>
              </w:rPr>
              <w:t>; sin que ello implique, el acogimiento del fondo del asunto, por cuanto el ordenamiento constitucional no demanda necesariamente  acceder en forma positiva a lo peticionado, pero si responder tempestiva, clara, precisa y congruentemente lo impetrado.</w:t>
            </w:r>
          </w:p>
          <w:p w:rsidR="00000000" w:rsidRDefault="00507C32">
            <w:pPr>
              <w:pStyle w:val="Sinespaciado"/>
              <w:jc w:val="both"/>
              <w:divId w:val="1926962744"/>
              <w:rPr>
                <w:rFonts w:ascii="Arial" w:hAnsi="Arial" w:cs="Arial"/>
                <w:sz w:val="20"/>
                <w:szCs w:val="20"/>
                <w:lang w:val="es-ES_tradnl"/>
              </w:rPr>
            </w:pPr>
          </w:p>
          <w:p w:rsidR="00000000" w:rsidRDefault="00507C32">
            <w:pPr>
              <w:jc w:val="both"/>
              <w:divId w:val="1926962744"/>
              <w:rPr>
                <w:rFonts w:ascii="Arial" w:hAnsi="Arial" w:cs="Arial"/>
                <w:sz w:val="20"/>
                <w:szCs w:val="20"/>
                <w:lang w:eastAsia="x-none"/>
              </w:rPr>
            </w:pPr>
            <w:r>
              <w:rPr>
                <w:rFonts w:ascii="Arial" w:hAnsi="Arial" w:cs="Arial"/>
                <w:sz w:val="20"/>
                <w:szCs w:val="20"/>
                <w:lang w:eastAsia="x-none"/>
              </w:rPr>
              <w:t>Sob</w:t>
            </w:r>
            <w:r>
              <w:rPr>
                <w:rFonts w:ascii="Arial" w:hAnsi="Arial" w:cs="Arial"/>
                <w:sz w:val="20"/>
                <w:szCs w:val="20"/>
                <w:lang w:eastAsia="x-none"/>
              </w:rPr>
              <w:t>re el alcance de la prerrogativa supralegal mencionada, esta Corte ha precisado:</w:t>
            </w:r>
          </w:p>
          <w:p w:rsidR="00000000" w:rsidRDefault="00507C32">
            <w:pPr>
              <w:pStyle w:val="Sinespaciado"/>
              <w:jc w:val="both"/>
              <w:divId w:val="1926962744"/>
              <w:rPr>
                <w:rFonts w:ascii="Arial" w:hAnsi="Arial" w:cs="Arial"/>
                <w:sz w:val="20"/>
                <w:szCs w:val="20"/>
              </w:rPr>
            </w:pPr>
          </w:p>
          <w:p w:rsidR="00000000" w:rsidRDefault="00507C32">
            <w:pPr>
              <w:jc w:val="both"/>
              <w:divId w:val="1926962744"/>
              <w:rPr>
                <w:rFonts w:ascii="Arial" w:hAnsi="Arial" w:cs="Arial"/>
                <w:sz w:val="20"/>
                <w:szCs w:val="20"/>
              </w:rPr>
            </w:pPr>
            <w:r>
              <w:rPr>
                <w:rFonts w:ascii="Arial" w:hAnsi="Arial" w:cs="Arial"/>
                <w:iCs/>
                <w:sz w:val="20"/>
                <w:szCs w:val="20"/>
              </w:rPr>
              <w:t></w:t>
            </w:r>
            <w:r>
              <w:rPr>
                <w:rFonts w:ascii="Arial" w:hAnsi="Arial" w:cs="Arial"/>
                <w:iCs/>
                <w:sz w:val="20"/>
                <w:szCs w:val="20"/>
              </w:rPr>
              <w:t>(</w:t>
            </w:r>
            <w:r>
              <w:rPr>
                <w:rFonts w:ascii="Arial" w:hAnsi="Arial" w:cs="Arial"/>
                <w:iCs/>
                <w:sz w:val="20"/>
                <w:szCs w:val="20"/>
              </w:rPr>
              <w:t></w:t>
            </w:r>
            <w:r>
              <w:rPr>
                <w:rFonts w:ascii="Arial" w:hAnsi="Arial" w:cs="Arial"/>
                <w:iCs/>
                <w:sz w:val="20"/>
                <w:szCs w:val="20"/>
              </w:rPr>
              <w:t>)</w:t>
            </w:r>
            <w:r>
              <w:rPr>
                <w:rFonts w:ascii="Arial" w:hAnsi="Arial" w:cs="Arial"/>
                <w:iCs/>
                <w:sz w:val="20"/>
                <w:szCs w:val="20"/>
              </w:rPr>
              <w:t xml:space="preserve"> </w:t>
            </w:r>
            <w:r>
              <w:rPr>
                <w:rFonts w:ascii="Arial" w:hAnsi="Arial" w:cs="Arial"/>
                <w:sz w:val="20"/>
                <w:szCs w:val="20"/>
              </w:rPr>
              <w:t>[I]</w:t>
            </w:r>
            <w:r>
              <w:rPr>
                <w:rFonts w:ascii="Arial" w:hAnsi="Arial" w:cs="Arial"/>
                <w:iCs/>
                <w:sz w:val="20"/>
                <w:szCs w:val="20"/>
              </w:rPr>
              <w:t xml:space="preserve"> El derecho de petición es fundamental y determinante para la efectividad de los mecanismos de la democracia participativa, garantizando a su vez otros derechos const</w:t>
            </w:r>
            <w:r>
              <w:rPr>
                <w:rFonts w:ascii="Arial" w:hAnsi="Arial" w:cs="Arial"/>
                <w:iCs/>
                <w:sz w:val="20"/>
                <w:szCs w:val="20"/>
              </w:rPr>
              <w:t>itucionales, como los derechos a la información, a la participación política y a la libertad de expresión; (ii) el núcleo esencial del derecho de petición reside en la resolución pronta y oportuna de la cuestión; (iii) la petición debe ser resuelta de fond</w:t>
            </w:r>
            <w:r>
              <w:rPr>
                <w:rFonts w:ascii="Arial" w:hAnsi="Arial" w:cs="Arial"/>
                <w:iCs/>
                <w:sz w:val="20"/>
                <w:szCs w:val="20"/>
              </w:rPr>
              <w:t>o, de manera clara, oportuna, precisa y congruente con lo solicitado; (iv) la respuesta debe producirse dentro de un plazo razonable, el cual debe ser lo más corto posible; (v) la respuesta no implica aceptación de lo solicitado ni tampoco se concreta siem</w:t>
            </w:r>
            <w:r>
              <w:rPr>
                <w:rFonts w:ascii="Arial" w:hAnsi="Arial" w:cs="Arial"/>
                <w:iCs/>
                <w:sz w:val="20"/>
                <w:szCs w:val="20"/>
              </w:rPr>
              <w:t>pre en una respuesta escrita; (vi) este derecho, por regla general, se aplica a entidades estatales, y en algunos casos a los particulares; (vii) el silencio administrativo negativo, entendido como un mecanismo para agotar la vía gubernativa y acceder a la</w:t>
            </w:r>
            <w:r>
              <w:rPr>
                <w:rFonts w:ascii="Arial" w:hAnsi="Arial" w:cs="Arial"/>
                <w:iCs/>
                <w:sz w:val="20"/>
                <w:szCs w:val="20"/>
              </w:rPr>
              <w:t xml:space="preserve"> vía judicial, no satisface el derecho fundamental de petición pues su objeto es distinto. Por el contrario, el silencio administrativo es la prueba incontrovertible de que se ha violado el derecho de petición; (viii) el derecho de petición también es apli</w:t>
            </w:r>
            <w:r>
              <w:rPr>
                <w:rFonts w:ascii="Arial" w:hAnsi="Arial" w:cs="Arial"/>
                <w:iCs/>
                <w:sz w:val="20"/>
                <w:szCs w:val="20"/>
              </w:rPr>
              <w:t xml:space="preserve">cable en la vía gubernativa; (ix) la falta de competencia de la entidad ante quien se plantea, no la exonera del deber de responder; y (x) ante la presentación de una petición, la entidad pública debe notificar su respuesta al interesado </w:t>
            </w:r>
            <w:r>
              <w:rPr>
                <w:rFonts w:ascii="Arial" w:hAnsi="Arial" w:cs="Arial"/>
                <w:sz w:val="20"/>
                <w:szCs w:val="20"/>
              </w:rPr>
              <w:t>(</w:t>
            </w:r>
            <w:r>
              <w:rPr>
                <w:rFonts w:ascii="Arial" w:hAnsi="Arial" w:cs="Arial"/>
                <w:sz w:val="20"/>
                <w:szCs w:val="20"/>
              </w:rPr>
              <w:t></w:t>
            </w:r>
            <w:r>
              <w:rPr>
                <w:rFonts w:ascii="Arial" w:hAnsi="Arial" w:cs="Arial"/>
                <w:sz w:val="20"/>
                <w:szCs w:val="20"/>
              </w:rPr>
              <w:t>)</w:t>
            </w:r>
            <w:r>
              <w:rPr>
                <w:rFonts w:ascii="Arial" w:hAnsi="Arial" w:cs="Arial"/>
                <w:sz w:val="20"/>
                <w:szCs w:val="20"/>
              </w:rPr>
              <w:t></w:t>
            </w:r>
            <w:r>
              <w:rPr>
                <w:rFonts w:ascii="Arial" w:hAnsi="Arial" w:cs="Arial"/>
                <w:sz w:val="20"/>
                <w:szCs w:val="20"/>
                <w:vertAlign w:val="superscript"/>
              </w:rPr>
              <w:footnoteReference w:id="2"/>
            </w:r>
            <w:r>
              <w:rPr>
                <w:rFonts w:ascii="Arial" w:hAnsi="Arial" w:cs="Arial"/>
                <w:iCs/>
                <w:sz w:val="20"/>
                <w:szCs w:val="20"/>
              </w:rPr>
              <w:t>.</w:t>
            </w:r>
          </w:p>
          <w:p w:rsidR="00000000" w:rsidRDefault="00507C32">
            <w:pPr>
              <w:jc w:val="both"/>
              <w:divId w:val="1926962744"/>
              <w:rPr>
                <w:rFonts w:ascii="Arial" w:hAnsi="Arial" w:cs="Arial"/>
                <w:bCs/>
                <w:sz w:val="20"/>
                <w:szCs w:val="20"/>
              </w:rPr>
            </w:pPr>
          </w:p>
          <w:p w:rsidR="00000000" w:rsidRDefault="00507C32">
            <w:pPr>
              <w:pStyle w:val="Sinespaciado"/>
              <w:jc w:val="both"/>
              <w:divId w:val="1926962744"/>
              <w:rPr>
                <w:rFonts w:ascii="Arial" w:hAnsi="Arial" w:cs="Arial"/>
                <w:sz w:val="20"/>
                <w:szCs w:val="20"/>
              </w:rPr>
            </w:pPr>
          </w:p>
          <w:p w:rsidR="00000000" w:rsidRDefault="00507C32">
            <w:pPr>
              <w:jc w:val="both"/>
              <w:divId w:val="1926962744"/>
              <w:rPr>
                <w:rFonts w:ascii="Arial" w:hAnsi="Arial" w:cs="Arial"/>
                <w:bCs/>
                <w:sz w:val="20"/>
                <w:szCs w:val="20"/>
              </w:rPr>
            </w:pPr>
            <w:r>
              <w:rPr>
                <w:rFonts w:ascii="Arial" w:hAnsi="Arial" w:cs="Arial"/>
                <w:bCs/>
                <w:sz w:val="20"/>
                <w:szCs w:val="20"/>
              </w:rPr>
              <w:t>2.</w:t>
            </w:r>
            <w:r>
              <w:rPr>
                <w:rFonts w:ascii="Arial" w:hAnsi="Arial" w:cs="Arial"/>
                <w:bCs/>
                <w:sz w:val="20"/>
                <w:szCs w:val="20"/>
              </w:rPr>
              <w:tab/>
              <w:t>Examin</w:t>
            </w:r>
            <w:r>
              <w:rPr>
                <w:rFonts w:ascii="Arial" w:hAnsi="Arial" w:cs="Arial"/>
                <w:bCs/>
                <w:sz w:val="20"/>
                <w:szCs w:val="20"/>
              </w:rPr>
              <w:t>adas las pruebas adosadas a esta tramitación, se encuentra que en escritos fechados el 15 de</w:t>
            </w:r>
            <w:r>
              <w:rPr>
                <w:rFonts w:ascii="Arial" w:hAnsi="Arial" w:cs="Arial"/>
                <w:sz w:val="20"/>
                <w:szCs w:val="20"/>
              </w:rPr>
              <w:t xml:space="preserve"> septiembre de 2015 y el 26 de enero de 2016, la </w:t>
            </w:r>
            <w:r>
              <w:rPr>
                <w:rFonts w:ascii="Arial" w:hAnsi="Arial" w:cs="Arial"/>
                <w:bCs/>
                <w:sz w:val="20"/>
                <w:szCs w:val="20"/>
              </w:rPr>
              <w:t xml:space="preserve">actora elevó ante la </w:t>
            </w:r>
            <w:r>
              <w:rPr>
                <w:rFonts w:ascii="Arial" w:hAnsi="Arial" w:cs="Arial"/>
                <w:sz w:val="20"/>
                <w:szCs w:val="20"/>
              </w:rPr>
              <w:t>Unidad Administrativa Especial de Atención y Reparación Integral a las Víctimas y el Departame</w:t>
            </w:r>
            <w:r>
              <w:rPr>
                <w:rFonts w:ascii="Arial" w:hAnsi="Arial" w:cs="Arial"/>
                <w:sz w:val="20"/>
                <w:szCs w:val="20"/>
              </w:rPr>
              <w:t xml:space="preserve">nto Administrativo de la Presidencia de la República, unas </w:t>
            </w:r>
            <w:r>
              <w:rPr>
                <w:rFonts w:ascii="Arial" w:hAnsi="Arial" w:cs="Arial"/>
                <w:bCs/>
                <w:sz w:val="20"/>
                <w:szCs w:val="20"/>
              </w:rPr>
              <w:t xml:space="preserve">súplicas, solicitándole </w:t>
            </w:r>
            <w:r>
              <w:rPr>
                <w:rFonts w:ascii="Arial" w:hAnsi="Arial" w:cs="Arial"/>
                <w:bCs/>
                <w:sz w:val="20"/>
                <w:szCs w:val="20"/>
              </w:rPr>
              <w:t xml:space="preserve">a la primera, </w:t>
            </w:r>
            <w:r>
              <w:rPr>
                <w:rFonts w:ascii="Arial" w:hAnsi="Arial" w:cs="Arial"/>
                <w:bCs/>
                <w:sz w:val="20"/>
                <w:szCs w:val="20"/>
              </w:rPr>
              <w:t></w:t>
            </w:r>
            <w:r>
              <w:rPr>
                <w:rFonts w:ascii="Arial" w:hAnsi="Arial" w:cs="Arial"/>
                <w:bCs/>
                <w:sz w:val="20"/>
                <w:szCs w:val="20"/>
              </w:rPr>
              <w:t>(</w:t>
            </w:r>
            <w:r>
              <w:rPr>
                <w:rFonts w:ascii="Arial" w:hAnsi="Arial" w:cs="Arial"/>
                <w:bCs/>
                <w:sz w:val="20"/>
                <w:szCs w:val="20"/>
              </w:rPr>
              <w:t></w:t>
            </w:r>
            <w:r>
              <w:rPr>
                <w:rFonts w:ascii="Arial" w:hAnsi="Arial" w:cs="Arial"/>
                <w:bCs/>
                <w:sz w:val="20"/>
                <w:szCs w:val="20"/>
              </w:rPr>
              <w:t>)</w:t>
            </w:r>
            <w:r>
              <w:rPr>
                <w:rFonts w:ascii="Arial" w:hAnsi="Arial" w:cs="Arial"/>
                <w:bCs/>
                <w:sz w:val="20"/>
                <w:szCs w:val="20"/>
              </w:rPr>
              <w:t xml:space="preserve"> </w:t>
            </w:r>
            <w:r>
              <w:rPr>
                <w:rFonts w:ascii="Arial" w:hAnsi="Arial" w:cs="Arial"/>
                <w:sz w:val="20"/>
                <w:szCs w:val="20"/>
              </w:rPr>
              <w:t xml:space="preserve">ser incluida en el Registro Único de Víctimas </w:t>
            </w:r>
            <w:r>
              <w:rPr>
                <w:rFonts w:ascii="Arial" w:hAnsi="Arial" w:cs="Arial"/>
                <w:bCs/>
                <w:sz w:val="20"/>
                <w:szCs w:val="20"/>
              </w:rPr>
              <w:t>(</w:t>
            </w:r>
            <w:r>
              <w:rPr>
                <w:rFonts w:ascii="Arial" w:hAnsi="Arial" w:cs="Arial"/>
                <w:bCs/>
                <w:sz w:val="20"/>
                <w:szCs w:val="20"/>
              </w:rPr>
              <w:t></w:t>
            </w:r>
            <w:r>
              <w:rPr>
                <w:rFonts w:ascii="Arial" w:hAnsi="Arial" w:cs="Arial"/>
                <w:bCs/>
                <w:sz w:val="20"/>
                <w:szCs w:val="20"/>
              </w:rPr>
              <w:t>)</w:t>
            </w:r>
            <w:r>
              <w:rPr>
                <w:rFonts w:ascii="Arial" w:hAnsi="Arial" w:cs="Arial"/>
                <w:bCs/>
                <w:sz w:val="20"/>
                <w:szCs w:val="20"/>
              </w:rPr>
              <w:t></w:t>
            </w:r>
            <w:r>
              <w:rPr>
                <w:rFonts w:ascii="Arial" w:hAnsi="Arial" w:cs="Arial"/>
                <w:bCs/>
                <w:sz w:val="20"/>
                <w:szCs w:val="20"/>
              </w:rPr>
              <w:t>; y al segundo, instar a aqu</w:t>
            </w:r>
            <w:r>
              <w:rPr>
                <w:rFonts w:ascii="Arial" w:hAnsi="Arial" w:cs="Arial"/>
                <w:bCs/>
                <w:sz w:val="20"/>
                <w:szCs w:val="20"/>
              </w:rPr>
              <w:t>é</w:t>
            </w:r>
            <w:r>
              <w:rPr>
                <w:rFonts w:ascii="Arial" w:hAnsi="Arial" w:cs="Arial"/>
                <w:bCs/>
                <w:sz w:val="20"/>
                <w:szCs w:val="20"/>
              </w:rPr>
              <w:t>lla a</w:t>
            </w:r>
            <w:r>
              <w:rPr>
                <w:rFonts w:ascii="Arial" w:hAnsi="Arial" w:cs="Arial"/>
                <w:bCs/>
                <w:sz w:val="20"/>
                <w:szCs w:val="20"/>
              </w:rPr>
              <w:t xml:space="preserve"> atender su requerimiento, ambos ruegos carentes de respuesta.</w:t>
            </w:r>
          </w:p>
          <w:p w:rsidR="00000000" w:rsidRDefault="00507C32">
            <w:pPr>
              <w:jc w:val="both"/>
              <w:divId w:val="1926962744"/>
              <w:rPr>
                <w:rFonts w:ascii="Arial" w:hAnsi="Arial" w:cs="Arial"/>
                <w:bCs/>
                <w:sz w:val="20"/>
                <w:szCs w:val="20"/>
              </w:rPr>
            </w:pPr>
          </w:p>
          <w:p w:rsidR="00000000" w:rsidRDefault="00507C32">
            <w:pPr>
              <w:jc w:val="both"/>
              <w:divId w:val="1926962744"/>
              <w:rPr>
                <w:rFonts w:ascii="Arial" w:hAnsi="Arial" w:cs="Arial"/>
                <w:bCs/>
                <w:sz w:val="20"/>
                <w:szCs w:val="20"/>
              </w:rPr>
            </w:pPr>
            <w:r>
              <w:rPr>
                <w:rFonts w:ascii="Arial" w:hAnsi="Arial" w:cs="Arial"/>
                <w:bCs/>
                <w:sz w:val="20"/>
                <w:szCs w:val="20"/>
              </w:rPr>
              <w:t xml:space="preserve">3. </w:t>
            </w:r>
            <w:r>
              <w:rPr>
                <w:rFonts w:ascii="Arial" w:hAnsi="Arial" w:cs="Arial"/>
                <w:bCs/>
                <w:sz w:val="20"/>
                <w:szCs w:val="20"/>
                <w:lang w:val="es-ES_tradnl"/>
              </w:rPr>
              <w:t>Las</w:t>
            </w:r>
            <w:r>
              <w:rPr>
                <w:rFonts w:ascii="Arial" w:hAnsi="Arial" w:cs="Arial"/>
                <w:bCs/>
                <w:sz w:val="20"/>
                <w:szCs w:val="20"/>
                <w:lang w:val="es-ES_tradnl"/>
              </w:rPr>
              <w:t xml:space="preserve"> citadas entidades en las contestaciones allegadas al presente trámite, no desvirtuaron la falta de respuesta de las señaladas peticiones.    </w:t>
            </w:r>
          </w:p>
          <w:p w:rsidR="00000000" w:rsidRDefault="00507C32">
            <w:pPr>
              <w:pStyle w:val="Textoindependiente"/>
              <w:spacing w:after="0"/>
              <w:jc w:val="both"/>
              <w:divId w:val="1926962744"/>
              <w:rPr>
                <w:rFonts w:ascii="Arial" w:hAnsi="Arial" w:cs="Arial"/>
                <w:sz w:val="20"/>
                <w:szCs w:val="20"/>
              </w:rPr>
            </w:pPr>
            <w:r>
              <w:rPr>
                <w:rFonts w:ascii="Arial" w:hAnsi="Arial" w:cs="Arial"/>
                <w:bCs/>
                <w:sz w:val="20"/>
                <w:szCs w:val="20"/>
                <w:lang w:val="es-ES_tradnl"/>
              </w:rPr>
              <w:t>Así las cosas, se colige que las autoridades reseñadas lesionaron la prerrogativa deprecada por la promotora, pue</w:t>
            </w:r>
            <w:r>
              <w:rPr>
                <w:rFonts w:ascii="Arial" w:hAnsi="Arial" w:cs="Arial"/>
                <w:bCs/>
                <w:sz w:val="20"/>
                <w:szCs w:val="20"/>
                <w:lang w:val="es-ES_tradnl"/>
              </w:rPr>
              <w:t xml:space="preserve">s la </w:t>
            </w:r>
            <w:r>
              <w:rPr>
                <w:rFonts w:ascii="Arial" w:hAnsi="Arial" w:cs="Arial"/>
                <w:sz w:val="20"/>
                <w:szCs w:val="20"/>
              </w:rPr>
              <w:t>Unidad Administrativa Especial de Atención y Reparación Integral a las Víctimas no respondió su pretensión de ser incluida</w:t>
            </w:r>
            <w:r>
              <w:rPr>
                <w:rFonts w:ascii="Arial" w:hAnsi="Arial" w:cs="Arial"/>
                <w:bCs/>
                <w:sz w:val="20"/>
                <w:szCs w:val="20"/>
                <w:lang w:val="es-ES_tradnl"/>
              </w:rPr>
              <w:t xml:space="preserve"> en el Registro Único de Víctimas; y el </w:t>
            </w:r>
            <w:r>
              <w:rPr>
                <w:rFonts w:ascii="Arial" w:hAnsi="Arial" w:cs="Arial"/>
                <w:sz w:val="20"/>
                <w:szCs w:val="20"/>
              </w:rPr>
              <w:t>Departamento Administrativo de la Presidencia de la República, omitió atender la queja de</w:t>
            </w:r>
            <w:r>
              <w:rPr>
                <w:rFonts w:ascii="Arial" w:hAnsi="Arial" w:cs="Arial"/>
                <w:sz w:val="20"/>
                <w:szCs w:val="20"/>
              </w:rPr>
              <w:t xml:space="preserve"> la tutelante en torno a la falta de solución del primero de los señalados pedimentos.</w:t>
            </w:r>
          </w:p>
          <w:p w:rsidR="00000000" w:rsidRDefault="00507C32">
            <w:pPr>
              <w:pStyle w:val="Sinespaciado"/>
              <w:jc w:val="both"/>
              <w:divId w:val="1926962744"/>
              <w:rPr>
                <w:rFonts w:ascii="Arial" w:hAnsi="Arial" w:cs="Arial"/>
                <w:sz w:val="20"/>
                <w:szCs w:val="20"/>
              </w:rPr>
            </w:pPr>
            <w:r>
              <w:rPr>
                <w:rFonts w:ascii="Arial" w:hAnsi="Arial" w:cs="Arial"/>
                <w:sz w:val="20"/>
                <w:szCs w:val="20"/>
              </w:rPr>
              <w:t xml:space="preserve"> </w:t>
            </w:r>
          </w:p>
          <w:p w:rsidR="00000000" w:rsidRDefault="00507C32">
            <w:pPr>
              <w:jc w:val="both"/>
              <w:divId w:val="1926962744"/>
              <w:rPr>
                <w:rFonts w:ascii="Arial" w:hAnsi="Arial" w:cs="Arial"/>
                <w:sz w:val="20"/>
                <w:szCs w:val="20"/>
              </w:rPr>
            </w:pPr>
            <w:r>
              <w:rPr>
                <w:rFonts w:ascii="Arial" w:hAnsi="Arial" w:cs="Arial"/>
                <w:sz w:val="20"/>
                <w:szCs w:val="20"/>
              </w:rPr>
              <w:t xml:space="preserve">4. Por último, no se dará curso al reclamo </w:t>
            </w:r>
            <w:r>
              <w:rPr>
                <w:rFonts w:ascii="Arial" w:hAnsi="Arial" w:cs="Arial"/>
                <w:sz w:val="20"/>
                <w:szCs w:val="20"/>
              </w:rPr>
              <w:t xml:space="preserve">del Departamento Administrativo para la Prosperidad Social </w:t>
            </w:r>
            <w:r>
              <w:rPr>
                <w:rFonts w:ascii="Arial" w:hAnsi="Arial" w:cs="Arial"/>
                <w:sz w:val="20"/>
                <w:szCs w:val="20"/>
              </w:rPr>
              <w:t></w:t>
            </w:r>
            <w:r>
              <w:rPr>
                <w:rFonts w:ascii="Arial" w:hAnsi="Arial" w:cs="Arial"/>
                <w:sz w:val="20"/>
                <w:szCs w:val="20"/>
              </w:rPr>
              <w:t>DPS, relacionado</w:t>
            </w:r>
            <w:r>
              <w:rPr>
                <w:rFonts w:ascii="Arial" w:hAnsi="Arial" w:cs="Arial"/>
                <w:sz w:val="20"/>
                <w:szCs w:val="20"/>
              </w:rPr>
              <w:t xml:space="preserve"> con la ausencia de atribuciones legales de éste</w:t>
            </w:r>
            <w:r>
              <w:rPr>
                <w:rFonts w:ascii="Arial" w:hAnsi="Arial" w:cs="Arial"/>
                <w:sz w:val="20"/>
                <w:szCs w:val="20"/>
              </w:rPr>
              <w:t xml:space="preserve"> para pronunciarse sobre la reclamación de la interesada tendiente a su inclusión en el Registro Único de Víctimas, teniendo en cuenta que la orden de responder las solicitudes extrañadas dada por el Tribunal Constitucional a quo, solo cobijó a los entes a</w:t>
            </w:r>
            <w:r>
              <w:rPr>
                <w:rFonts w:ascii="Arial" w:hAnsi="Arial" w:cs="Arial"/>
                <w:sz w:val="20"/>
                <w:szCs w:val="20"/>
              </w:rPr>
              <w:t xml:space="preserve">rriba referenciados. </w:t>
            </w:r>
          </w:p>
          <w:p w:rsidR="00000000" w:rsidRDefault="00507C32">
            <w:pPr>
              <w:jc w:val="both"/>
              <w:divId w:val="1926962744"/>
              <w:rPr>
                <w:rFonts w:ascii="Arial" w:hAnsi="Arial" w:cs="Arial"/>
                <w:sz w:val="20"/>
                <w:szCs w:val="20"/>
              </w:rPr>
            </w:pPr>
          </w:p>
          <w:p w:rsidR="00000000" w:rsidRDefault="00507C32">
            <w:pPr>
              <w:jc w:val="both"/>
              <w:divId w:val="1926962744"/>
              <w:rPr>
                <w:rFonts w:ascii="Arial" w:hAnsi="Arial" w:cs="Arial"/>
                <w:sz w:val="20"/>
                <w:szCs w:val="20"/>
              </w:rPr>
            </w:pPr>
            <w:r>
              <w:rPr>
                <w:rFonts w:ascii="Arial" w:hAnsi="Arial" w:cs="Arial"/>
                <w:sz w:val="20"/>
                <w:szCs w:val="20"/>
              </w:rPr>
              <w:t>5. Por las razones anotadas, se ratificará la providencia examinada.</w:t>
            </w:r>
          </w:p>
          <w:p w:rsidR="00000000" w:rsidRDefault="00507C32">
            <w:pPr>
              <w:pStyle w:val="Sinespaciado"/>
              <w:jc w:val="both"/>
              <w:divId w:val="1926962744"/>
              <w:rPr>
                <w:rFonts w:ascii="Arial" w:hAnsi="Arial" w:cs="Arial"/>
                <w:sz w:val="20"/>
                <w:szCs w:val="20"/>
              </w:rPr>
            </w:pPr>
          </w:p>
          <w:p w:rsidR="00000000" w:rsidRDefault="00507C32">
            <w:pPr>
              <w:tabs>
                <w:tab w:val="left" w:pos="0"/>
              </w:tabs>
              <w:jc w:val="both"/>
              <w:divId w:val="1926962744"/>
              <w:rPr>
                <w:rFonts w:ascii="Arial" w:hAnsi="Arial" w:cs="Arial"/>
                <w:sz w:val="20"/>
                <w:szCs w:val="20"/>
              </w:rPr>
            </w:pPr>
            <w:r>
              <w:rPr>
                <w:rFonts w:ascii="Arial" w:hAnsi="Arial" w:cs="Arial"/>
                <w:sz w:val="20"/>
                <w:szCs w:val="20"/>
              </w:rPr>
              <w:t>3. DECISIÓN</w:t>
            </w:r>
          </w:p>
          <w:p w:rsidR="00000000" w:rsidRDefault="00507C32">
            <w:pPr>
              <w:jc w:val="both"/>
              <w:divId w:val="1926962744"/>
              <w:rPr>
                <w:rFonts w:ascii="Arial" w:hAnsi="Arial" w:cs="Arial"/>
                <w:sz w:val="20"/>
                <w:szCs w:val="20"/>
              </w:rPr>
            </w:pPr>
          </w:p>
          <w:p w:rsidR="00000000" w:rsidRDefault="00507C32">
            <w:pPr>
              <w:tabs>
                <w:tab w:val="left" w:pos="1080"/>
              </w:tabs>
              <w:jc w:val="both"/>
              <w:divId w:val="1926962744"/>
              <w:rPr>
                <w:rFonts w:ascii="Arial" w:hAnsi="Arial" w:cs="Arial"/>
                <w:sz w:val="20"/>
                <w:szCs w:val="20"/>
              </w:rPr>
            </w:pPr>
            <w:r>
              <w:rPr>
                <w:rFonts w:ascii="Arial" w:hAnsi="Arial" w:cs="Arial"/>
                <w:sz w:val="20"/>
                <w:szCs w:val="20"/>
              </w:rPr>
              <w:t>En mérito de lo expuesto, la Corte Suprema de Justicia, en Sala de Casación Civil, administrando justicia en nombre de la República y por autoridad de</w:t>
            </w:r>
            <w:r>
              <w:rPr>
                <w:rFonts w:ascii="Arial" w:hAnsi="Arial" w:cs="Arial"/>
                <w:sz w:val="20"/>
                <w:szCs w:val="20"/>
              </w:rPr>
              <w:t xml:space="preserve"> la ley, </w:t>
            </w:r>
          </w:p>
          <w:p w:rsidR="00000000" w:rsidRDefault="00507C32">
            <w:pPr>
              <w:tabs>
                <w:tab w:val="left" w:pos="1080"/>
              </w:tabs>
              <w:jc w:val="both"/>
              <w:divId w:val="1926962744"/>
              <w:rPr>
                <w:rFonts w:ascii="Arial" w:hAnsi="Arial" w:cs="Arial"/>
                <w:sz w:val="20"/>
                <w:szCs w:val="20"/>
              </w:rPr>
            </w:pPr>
          </w:p>
          <w:p w:rsidR="00000000" w:rsidRDefault="00507C32">
            <w:pPr>
              <w:tabs>
                <w:tab w:val="left" w:pos="1080"/>
              </w:tabs>
              <w:jc w:val="both"/>
              <w:divId w:val="1926962744"/>
              <w:rPr>
                <w:rFonts w:ascii="Arial" w:hAnsi="Arial" w:cs="Arial"/>
                <w:sz w:val="20"/>
                <w:szCs w:val="20"/>
              </w:rPr>
            </w:pPr>
          </w:p>
          <w:p w:rsidR="00000000" w:rsidRDefault="00507C32">
            <w:pPr>
              <w:tabs>
                <w:tab w:val="left" w:pos="1080"/>
              </w:tabs>
              <w:jc w:val="both"/>
              <w:divId w:val="1926962744"/>
              <w:rPr>
                <w:rFonts w:ascii="Arial" w:hAnsi="Arial" w:cs="Arial"/>
                <w:sz w:val="20"/>
                <w:szCs w:val="20"/>
              </w:rPr>
            </w:pPr>
          </w:p>
          <w:p w:rsidR="00000000" w:rsidRDefault="00507C32">
            <w:pPr>
              <w:tabs>
                <w:tab w:val="left" w:pos="1080"/>
              </w:tabs>
              <w:jc w:val="both"/>
              <w:divId w:val="1926962744"/>
              <w:rPr>
                <w:rFonts w:ascii="Arial" w:hAnsi="Arial" w:cs="Arial"/>
                <w:sz w:val="20"/>
                <w:szCs w:val="20"/>
              </w:rPr>
            </w:pPr>
          </w:p>
          <w:p w:rsidR="00000000" w:rsidRDefault="00507C32">
            <w:pPr>
              <w:tabs>
                <w:tab w:val="left" w:pos="1080"/>
              </w:tabs>
              <w:jc w:val="both"/>
              <w:divId w:val="1926962744"/>
              <w:rPr>
                <w:rFonts w:ascii="Arial" w:hAnsi="Arial" w:cs="Arial"/>
                <w:sz w:val="20"/>
                <w:szCs w:val="20"/>
              </w:rPr>
            </w:pPr>
            <w:r>
              <w:rPr>
                <w:rFonts w:ascii="Arial" w:hAnsi="Arial" w:cs="Arial"/>
                <w:sz w:val="20"/>
                <w:szCs w:val="20"/>
              </w:rPr>
              <w:t>RESUELVE:</w:t>
            </w:r>
          </w:p>
          <w:p w:rsidR="00000000" w:rsidRDefault="00507C32">
            <w:pPr>
              <w:tabs>
                <w:tab w:val="left" w:pos="1080"/>
              </w:tabs>
              <w:jc w:val="both"/>
              <w:divId w:val="1926962744"/>
              <w:rPr>
                <w:rFonts w:ascii="Arial" w:hAnsi="Arial" w:cs="Arial"/>
                <w:sz w:val="20"/>
                <w:szCs w:val="20"/>
              </w:rPr>
            </w:pPr>
          </w:p>
          <w:p w:rsidR="00000000" w:rsidRDefault="00507C32">
            <w:pPr>
              <w:tabs>
                <w:tab w:val="left" w:pos="1080"/>
              </w:tabs>
              <w:jc w:val="both"/>
              <w:divId w:val="1926962744"/>
              <w:rPr>
                <w:rFonts w:ascii="Arial" w:hAnsi="Arial" w:cs="Arial"/>
                <w:sz w:val="20"/>
                <w:szCs w:val="20"/>
              </w:rPr>
            </w:pPr>
            <w:r>
              <w:rPr>
                <w:rFonts w:ascii="Arial" w:hAnsi="Arial" w:cs="Arial"/>
                <w:sz w:val="20"/>
                <w:szCs w:val="20"/>
              </w:rPr>
              <w:t xml:space="preserve">PRIMERO: CONFIRMAR la sentencia de fecha, contenido y procedencia anotada. </w:t>
            </w:r>
          </w:p>
          <w:p w:rsidR="00000000" w:rsidRDefault="00507C32">
            <w:pPr>
              <w:pStyle w:val="Sangra3detindependiente"/>
              <w:spacing w:line="240" w:lineRule="auto"/>
              <w:ind w:firstLine="0"/>
              <w:divId w:val="1926962744"/>
              <w:rPr>
                <w:rFonts w:cs="Arial"/>
                <w:sz w:val="20"/>
                <w:szCs w:val="20"/>
                <w:lang w:val="es-CO"/>
              </w:rPr>
            </w:pPr>
          </w:p>
          <w:p w:rsidR="00000000" w:rsidRDefault="00507C32">
            <w:pPr>
              <w:pStyle w:val="Sangra3detindependiente"/>
              <w:spacing w:line="240" w:lineRule="auto"/>
              <w:ind w:firstLine="0"/>
              <w:divId w:val="1926962744"/>
              <w:rPr>
                <w:rFonts w:cs="Arial"/>
                <w:sz w:val="20"/>
                <w:szCs w:val="20"/>
                <w:lang w:val="es-CO"/>
              </w:rPr>
            </w:pPr>
            <w:r>
              <w:rPr>
                <w:rFonts w:cs="Arial"/>
                <w:sz w:val="20"/>
                <w:szCs w:val="20"/>
                <w:lang w:val="es-CO"/>
              </w:rPr>
              <w:t xml:space="preserve">SEGUNDO: Comunicar telegráficamente lo resuelto en esta providencia a los interesados y </w:t>
            </w:r>
            <w:r>
              <w:rPr>
                <w:rFonts w:cs="Arial"/>
                <w:sz w:val="20"/>
                <w:szCs w:val="20"/>
                <w:lang w:val="es-CO"/>
              </w:rPr>
              <w:t>oportunamente envíese el expediente a la Corte Constitucional para su eventual revisión.</w:t>
            </w:r>
          </w:p>
          <w:p w:rsidR="00000000" w:rsidRDefault="00507C32">
            <w:pPr>
              <w:jc w:val="both"/>
              <w:divId w:val="1926962744"/>
              <w:rPr>
                <w:rFonts w:ascii="Arial" w:hAnsi="Arial" w:cs="Arial"/>
                <w:sz w:val="20"/>
                <w:szCs w:val="20"/>
              </w:rPr>
            </w:pPr>
          </w:p>
          <w:p w:rsidR="00000000" w:rsidRDefault="00507C32">
            <w:pPr>
              <w:jc w:val="both"/>
              <w:divId w:val="1926962744"/>
              <w:rPr>
                <w:rFonts w:ascii="Arial" w:hAnsi="Arial" w:cs="Arial"/>
                <w:sz w:val="20"/>
                <w:szCs w:val="20"/>
              </w:rPr>
            </w:pPr>
          </w:p>
          <w:p w:rsidR="00000000" w:rsidRDefault="00507C32">
            <w:pPr>
              <w:jc w:val="both"/>
              <w:divId w:val="1926962744"/>
              <w:rPr>
                <w:rFonts w:ascii="Arial" w:hAnsi="Arial" w:cs="Arial"/>
                <w:sz w:val="20"/>
                <w:szCs w:val="20"/>
              </w:rPr>
            </w:pPr>
            <w:r>
              <w:rPr>
                <w:rFonts w:ascii="Arial" w:hAnsi="Arial" w:cs="Arial"/>
                <w:sz w:val="20"/>
                <w:szCs w:val="20"/>
              </w:rPr>
              <w:t xml:space="preserve">NOTIFÍQUESE Y CÚMPLASE </w:t>
            </w:r>
          </w:p>
          <w:p w:rsidR="00000000" w:rsidRDefault="00507C32">
            <w:pPr>
              <w:jc w:val="both"/>
              <w:divId w:val="1926962744"/>
              <w:rPr>
                <w:rFonts w:ascii="Arial" w:hAnsi="Arial" w:cs="Arial"/>
                <w:sz w:val="20"/>
                <w:szCs w:val="20"/>
              </w:rPr>
            </w:pPr>
          </w:p>
          <w:p w:rsidR="00000000" w:rsidRDefault="00507C32">
            <w:pPr>
              <w:jc w:val="both"/>
              <w:divId w:val="1926962744"/>
              <w:rPr>
                <w:rFonts w:ascii="Arial" w:hAnsi="Arial" w:cs="Arial"/>
                <w:sz w:val="20"/>
                <w:szCs w:val="20"/>
              </w:rPr>
            </w:pPr>
          </w:p>
          <w:p w:rsidR="00000000" w:rsidRDefault="00507C32">
            <w:pPr>
              <w:jc w:val="both"/>
              <w:divId w:val="1926962744"/>
              <w:rPr>
                <w:rFonts w:ascii="Arial" w:hAnsi="Arial" w:cs="Arial"/>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r>
              <w:rPr>
                <w:rFonts w:ascii="Arial" w:hAnsi="Arial" w:cs="Arial"/>
                <w:b/>
                <w:sz w:val="20"/>
                <w:szCs w:val="20"/>
              </w:rPr>
              <w:t xml:space="preserve">ÁLVARO FERNANDO GARCÍA RESTREPO </w:t>
            </w:r>
          </w:p>
          <w:p w:rsidR="00000000" w:rsidRDefault="00507C32">
            <w:pPr>
              <w:jc w:val="both"/>
              <w:divId w:val="1926962744"/>
              <w:rPr>
                <w:rFonts w:ascii="Arial" w:hAnsi="Arial" w:cs="Arial"/>
                <w:b/>
                <w:sz w:val="20"/>
                <w:szCs w:val="20"/>
              </w:rPr>
            </w:pPr>
            <w:r>
              <w:rPr>
                <w:rFonts w:ascii="Arial" w:hAnsi="Arial" w:cs="Arial"/>
                <w:b/>
                <w:sz w:val="20"/>
                <w:szCs w:val="20"/>
              </w:rPr>
              <w:t>Presidente de Sala</w:t>
            </w: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r>
              <w:rPr>
                <w:rFonts w:ascii="Arial" w:hAnsi="Arial" w:cs="Arial"/>
                <w:b/>
                <w:sz w:val="20"/>
                <w:szCs w:val="20"/>
              </w:rPr>
              <w:t>MARGARITA CABELLO BLANCO</w:t>
            </w: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r>
              <w:rPr>
                <w:rFonts w:ascii="Arial" w:hAnsi="Arial" w:cs="Arial"/>
                <w:b/>
                <w:sz w:val="20"/>
                <w:szCs w:val="20"/>
              </w:rPr>
              <w:t>FERNANDO GIRALDO GUTIÉRREZ</w:t>
            </w: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r>
              <w:rPr>
                <w:rFonts w:ascii="Arial" w:hAnsi="Arial" w:cs="Arial"/>
                <w:b/>
                <w:sz w:val="20"/>
                <w:szCs w:val="20"/>
              </w:rPr>
              <w:t xml:space="preserve">AROLDO </w:t>
            </w:r>
            <w:r>
              <w:rPr>
                <w:rFonts w:ascii="Arial" w:hAnsi="Arial" w:cs="Arial"/>
                <w:b/>
                <w:sz w:val="20"/>
                <w:szCs w:val="20"/>
              </w:rPr>
              <w:t>WILSON QUIROZ MONSALVO</w:t>
            </w:r>
          </w:p>
          <w:p w:rsidR="00000000" w:rsidRDefault="00507C32">
            <w:pPr>
              <w:tabs>
                <w:tab w:val="left" w:pos="4650"/>
              </w:tabs>
              <w:jc w:val="both"/>
              <w:divId w:val="1926962744"/>
              <w:rPr>
                <w:rFonts w:ascii="Arial" w:hAnsi="Arial" w:cs="Arial"/>
                <w:b/>
                <w:sz w:val="20"/>
                <w:szCs w:val="20"/>
              </w:rPr>
            </w:pPr>
          </w:p>
          <w:p w:rsidR="00000000" w:rsidRDefault="00507C32">
            <w:pPr>
              <w:tabs>
                <w:tab w:val="left" w:pos="4650"/>
              </w:tabs>
              <w:jc w:val="both"/>
              <w:divId w:val="1926962744"/>
              <w:rPr>
                <w:rFonts w:ascii="Arial" w:hAnsi="Arial" w:cs="Arial"/>
                <w:b/>
                <w:sz w:val="20"/>
                <w:szCs w:val="20"/>
              </w:rPr>
            </w:pPr>
          </w:p>
          <w:p w:rsidR="00000000" w:rsidRDefault="00507C32">
            <w:pPr>
              <w:tabs>
                <w:tab w:val="left" w:pos="4650"/>
              </w:tabs>
              <w:jc w:val="both"/>
              <w:divId w:val="1926962744"/>
              <w:rPr>
                <w:rFonts w:ascii="Arial" w:hAnsi="Arial" w:cs="Arial"/>
                <w:b/>
                <w:sz w:val="20"/>
                <w:szCs w:val="20"/>
              </w:rPr>
            </w:pPr>
            <w:r>
              <w:rPr>
                <w:rFonts w:ascii="Arial" w:hAnsi="Arial" w:cs="Arial"/>
                <w:b/>
                <w:sz w:val="20"/>
                <w:szCs w:val="20"/>
              </w:rPr>
              <w:tab/>
            </w:r>
          </w:p>
          <w:p w:rsidR="00000000" w:rsidRDefault="00507C32">
            <w:pPr>
              <w:tabs>
                <w:tab w:val="left" w:pos="4650"/>
              </w:tabs>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r>
              <w:rPr>
                <w:rFonts w:ascii="Arial" w:hAnsi="Arial" w:cs="Arial"/>
                <w:b/>
                <w:sz w:val="20"/>
                <w:szCs w:val="20"/>
              </w:rPr>
              <w:t>LUIS ALONSO RICO PUERTA</w:t>
            </w: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r>
              <w:rPr>
                <w:rFonts w:ascii="Arial" w:hAnsi="Arial" w:cs="Arial"/>
                <w:b/>
                <w:sz w:val="20"/>
                <w:szCs w:val="20"/>
              </w:rPr>
              <w:t>ARIEL SALAZAR RAMÍREZ</w:t>
            </w: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p>
          <w:p w:rsidR="00000000" w:rsidRDefault="00507C32">
            <w:pPr>
              <w:jc w:val="both"/>
              <w:divId w:val="1926962744"/>
              <w:rPr>
                <w:rFonts w:ascii="Arial" w:hAnsi="Arial" w:cs="Arial"/>
                <w:b/>
                <w:sz w:val="20"/>
                <w:szCs w:val="20"/>
              </w:rPr>
            </w:pPr>
            <w:r>
              <w:rPr>
                <w:rFonts w:ascii="Arial" w:hAnsi="Arial" w:cs="Arial"/>
                <w:b/>
                <w:sz w:val="20"/>
                <w:szCs w:val="20"/>
              </w:rPr>
              <w:t>LUIS ARMANDO TOLOSA VILLABONA</w:t>
            </w:r>
          </w:p>
          <w:p w:rsidR="00000000" w:rsidRDefault="00507C32" w:rsidP="000C1FE3">
            <w:pPr>
              <w:spacing w:before="150"/>
              <w:jc w:val="center"/>
              <w:divId w:val="1484003980"/>
            </w:pPr>
            <w:bookmarkStart w:id="0" w:name="_GoBack"/>
            <w:bookmarkEnd w:id="0"/>
          </w:p>
        </w:tc>
      </w:tr>
    </w:tbl>
    <w:p w:rsidR="00507C32" w:rsidRDefault="00507C32">
      <w:pPr>
        <w:divId w:val="115608578"/>
      </w:pPr>
    </w:p>
    <w:sectPr w:rsidR="00507C32">
      <w:pgSz w:w="12242" w:h="18722"/>
      <w:pgMar w:top="2268" w:right="1701" w:bottom="1701" w:left="2268" w:header="1134" w:footer="851"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C32" w:rsidRDefault="00507C32">
      <w:r>
        <w:separator/>
      </w:r>
    </w:p>
  </w:endnote>
  <w:endnote w:type="continuationSeparator" w:id="0">
    <w:p w:rsidR="00507C32" w:rsidRDefault="0050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C32" w:rsidRDefault="00507C32">
      <w:r>
        <w:separator/>
      </w:r>
    </w:p>
  </w:footnote>
  <w:footnote w:type="continuationSeparator" w:id="0">
    <w:p w:rsidR="00507C32" w:rsidRDefault="00507C32">
      <w:r>
        <w:continuationSeparator/>
      </w:r>
    </w:p>
  </w:footnote>
  <w:footnote w:id="1">
    <w:p w:rsidR="00000000" w:rsidRDefault="00507C32">
      <w:pPr>
        <w:pStyle w:val="Textonotapie"/>
        <w:jc w:val="both"/>
        <w:rPr>
          <w:rFonts w:cs="Arial"/>
          <w:sz w:val="18"/>
          <w:szCs w:val="22"/>
        </w:rPr>
      </w:pPr>
      <w:r>
        <w:rPr>
          <w:rStyle w:val="Refdenotaalpie"/>
          <w:rFonts w:cs="Arial"/>
          <w:sz w:val="18"/>
          <w:szCs w:val="22"/>
        </w:rPr>
        <w:footnoteRef/>
      </w:r>
      <w:r>
        <w:rPr>
          <w:rFonts w:cs="Arial"/>
          <w:sz w:val="18"/>
          <w:szCs w:val="22"/>
        </w:rPr>
        <w:t xml:space="preserve"> Como la sentencia C-818 de 2011 declaró inexequibles los artículos 13 a 33 de la Ley 1437 de 2011 relativos al derecho de petición, transitor</w:t>
      </w:r>
      <w:r>
        <w:rPr>
          <w:rFonts w:cs="Arial"/>
          <w:sz w:val="18"/>
          <w:szCs w:val="22"/>
        </w:rPr>
        <w:t xml:space="preserve">iamente se aplicaron las normas del extinto Decreto Ley 01 de 1984; sin embargo, sobre la materia recientemente se promulgó la Ley 1755 de 2015, cuyo artículo 1° y ss. regulan los pertinentes plazos para contestar los requerimientos. </w:t>
      </w:r>
    </w:p>
  </w:footnote>
  <w:footnote w:id="2">
    <w:p w:rsidR="00000000" w:rsidRDefault="00507C32">
      <w:pPr>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CSJ. STC. 19 de </w:t>
      </w:r>
      <w:r>
        <w:rPr>
          <w:rFonts w:ascii="Arial" w:hAnsi="Arial" w:cs="Arial"/>
          <w:sz w:val="18"/>
          <w:szCs w:val="18"/>
        </w:rPr>
        <w:t>marzo. 2014, Rad. 08001-22-13-000-2014-00053-01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81676"/>
    <w:multiLevelType w:val="hybridMultilevel"/>
    <w:tmpl w:val="A7D4DF00"/>
    <w:lvl w:ilvl="0" w:tplc="A776CC0E">
      <w:start w:val="1"/>
      <w:numFmt w:val="decimal"/>
      <w:lvlText w:val="%1."/>
      <w:lvlJc w:val="left"/>
      <w:pPr>
        <w:ind w:left="1495" w:hanging="360"/>
      </w:pPr>
      <w:rPr>
        <w:b w:val="0"/>
      </w:rPr>
    </w:lvl>
    <w:lvl w:ilvl="1" w:tplc="0C0A0019">
      <w:start w:val="1"/>
      <w:numFmt w:val="lowerLetter"/>
      <w:lvlText w:val="%2."/>
      <w:lvlJc w:val="left"/>
      <w:pPr>
        <w:ind w:left="2215" w:hanging="360"/>
      </w:pPr>
    </w:lvl>
    <w:lvl w:ilvl="2" w:tplc="0C0A001B">
      <w:start w:val="1"/>
      <w:numFmt w:val="lowerRoman"/>
      <w:lvlText w:val="%3."/>
      <w:lvlJc w:val="right"/>
      <w:pPr>
        <w:ind w:left="2935" w:hanging="180"/>
      </w:pPr>
    </w:lvl>
    <w:lvl w:ilvl="3" w:tplc="0C0A000F">
      <w:start w:val="1"/>
      <w:numFmt w:val="decimal"/>
      <w:lvlText w:val="%4."/>
      <w:lvlJc w:val="left"/>
      <w:pPr>
        <w:ind w:left="3655" w:hanging="360"/>
      </w:pPr>
    </w:lvl>
    <w:lvl w:ilvl="4" w:tplc="0C0A0019">
      <w:start w:val="1"/>
      <w:numFmt w:val="lowerLetter"/>
      <w:lvlText w:val="%5."/>
      <w:lvlJc w:val="left"/>
      <w:pPr>
        <w:ind w:left="4375" w:hanging="360"/>
      </w:pPr>
    </w:lvl>
    <w:lvl w:ilvl="5" w:tplc="0C0A001B">
      <w:start w:val="1"/>
      <w:numFmt w:val="lowerRoman"/>
      <w:lvlText w:val="%6."/>
      <w:lvlJc w:val="right"/>
      <w:pPr>
        <w:ind w:left="5095" w:hanging="180"/>
      </w:pPr>
    </w:lvl>
    <w:lvl w:ilvl="6" w:tplc="0C0A000F">
      <w:start w:val="1"/>
      <w:numFmt w:val="decimal"/>
      <w:lvlText w:val="%7."/>
      <w:lvlJc w:val="left"/>
      <w:pPr>
        <w:ind w:left="5815" w:hanging="360"/>
      </w:pPr>
    </w:lvl>
    <w:lvl w:ilvl="7" w:tplc="0C0A0019">
      <w:start w:val="1"/>
      <w:numFmt w:val="lowerLetter"/>
      <w:lvlText w:val="%8."/>
      <w:lvlJc w:val="left"/>
      <w:pPr>
        <w:ind w:left="6535" w:hanging="360"/>
      </w:pPr>
    </w:lvl>
    <w:lvl w:ilvl="8" w:tplc="0C0A001B">
      <w:start w:val="1"/>
      <w:numFmt w:val="lowerRoman"/>
      <w:lvlText w:val="%9."/>
      <w:lvlJc w:val="right"/>
      <w:pPr>
        <w:ind w:left="725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attachedTemplate r:id="rId1"/>
  <w:defaultTabStop w:val="708"/>
  <w:hyphenationZone w:val="4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C1FE3"/>
    <w:rsid w:val="000C1FE3"/>
    <w:rsid w:val="00507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6CF441-9E60-4A3F-BDF3-AE8ABE99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spacing w:line="360" w:lineRule="auto"/>
      <w:ind w:left="708" w:firstLine="392"/>
      <w:jc w:val="both"/>
      <w:outlineLvl w:val="0"/>
    </w:pPr>
    <w:rPr>
      <w:rFonts w:ascii="Arial" w:eastAsiaTheme="minorEastAsia" w:hAnsi="Arial"/>
      <w:b/>
      <w:lang w:val="es-ES"/>
    </w:rPr>
  </w:style>
  <w:style w:type="paragraph" w:styleId="Ttulo2">
    <w:name w:val="heading 2"/>
    <w:basedOn w:val="Normal"/>
    <w:next w:val="Normal"/>
    <w:link w:val="Ttulo2Car"/>
    <w:semiHidden/>
    <w:unhideWhenUsed/>
    <w:qFormat/>
    <w:pPr>
      <w:keepNext/>
      <w:spacing w:before="240" w:after="60"/>
      <w:outlineLvl w:val="1"/>
    </w:pPr>
    <w:rPr>
      <w:rFonts w:ascii="Cambria" w:eastAsiaTheme="minorEastAsia" w:hAnsi="Cambria"/>
      <w:b/>
      <w:bCs/>
      <w:i/>
      <w:iCs/>
      <w:sz w:val="28"/>
      <w:szCs w:val="28"/>
    </w:rPr>
  </w:style>
  <w:style w:type="paragraph" w:styleId="Ttulo6">
    <w:name w:val="heading 6"/>
    <w:basedOn w:val="Normal"/>
    <w:next w:val="Normal"/>
    <w:link w:val="Ttulo6Car"/>
    <w:qFormat/>
    <w:pPr>
      <w:spacing w:before="240" w:after="60"/>
      <w:outlineLvl w:val="5"/>
    </w:pPr>
    <w:rPr>
      <w:rFonts w:eastAsiaTheme="minorEastAsia"/>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Pr>
      <w:strike w:val="0"/>
      <w:dstrike w:val="0"/>
      <w:color w:val="0073FF"/>
      <w:u w:val="none"/>
      <w:effect w:val="none"/>
    </w:rPr>
  </w:style>
  <w:style w:type="character" w:styleId="Hipervnculovisitado">
    <w:name w:val="FollowedHyperlink"/>
    <w:basedOn w:val="Fuentedeprrafopredeter"/>
    <w:semiHidden/>
    <w:unhideWhenUsed/>
    <w:rPr>
      <w:color w:val="954F72" w:themeColor="followedHyperlink"/>
      <w:u w:val="single"/>
    </w:rPr>
  </w:style>
  <w:style w:type="character" w:customStyle="1" w:styleId="Ttulo1Car">
    <w:name w:val="Título 1 Car"/>
    <w:link w:val="Ttulo1"/>
    <w:locked/>
    <w:rPr>
      <w:rFonts w:ascii="Arial" w:hAnsi="Arial" w:cs="Arial" w:hint="default"/>
      <w:b/>
      <w:bCs w:val="0"/>
      <w:sz w:val="24"/>
      <w:lang w:val="es-ES" w:eastAsia="es-ES" w:bidi="ar-SA"/>
    </w:rPr>
  </w:style>
  <w:style w:type="character" w:customStyle="1" w:styleId="Ttulo2Car">
    <w:name w:val="Título 2 Car"/>
    <w:link w:val="Ttulo2"/>
    <w:semiHidden/>
    <w:locked/>
    <w:rPr>
      <w:rFonts w:ascii="Cambria" w:eastAsia="Times New Roman" w:hAnsi="Cambria" w:cs="Times New Roman" w:hint="default"/>
      <w:b/>
      <w:bCs/>
      <w:i/>
      <w:iCs/>
      <w:sz w:val="28"/>
      <w:szCs w:val="28"/>
      <w:lang w:val="es-ES_tradnl" w:eastAsia="es-ES"/>
    </w:rPr>
  </w:style>
  <w:style w:type="character" w:customStyle="1" w:styleId="Ttulo6Car">
    <w:name w:val="Título 6 Car"/>
    <w:link w:val="Ttulo6"/>
    <w:locked/>
    <w:rPr>
      <w:b/>
      <w:bCs/>
      <w:sz w:val="22"/>
      <w:szCs w:val="22"/>
      <w:lang w:val="es-ES_tradnl" w:eastAsia="es-ES" w:bidi="ar-SA"/>
    </w:rPr>
  </w:style>
  <w:style w:type="paragraph" w:styleId="NormalWeb">
    <w:name w:val="Normal (Web)"/>
    <w:basedOn w:val="Normal"/>
    <w:uiPriority w:val="99"/>
    <w:semiHidden/>
    <w:unhideWhenUsed/>
    <w:pPr>
      <w:spacing w:before="100" w:beforeAutospacing="1" w:after="100" w:afterAutospacing="1"/>
    </w:pPr>
  </w:style>
  <w:style w:type="character" w:customStyle="1" w:styleId="TextonotapieCar1">
    <w:name w:val="Texto nota pie Car1"/>
    <w:aliases w:val="Footnote Text Char Char Char Char Char Car,Footnote Text Char Char Char Char Car,Footnote reference Car,FA Fu Car,texto de nota al pie Car1,Car Car1,Footnote Text Char Char Char Car1,Footnote Text Char Char Char Car Car Car Car1"/>
    <w:link w:val="Textonotapie"/>
    <w:locked/>
    <w:rPr>
      <w:rFonts w:ascii="Arial" w:hAnsi="Arial" w:cs="Arial" w:hint="default"/>
      <w:lang w:val="es-ES_tradnl" w:eastAsia="es-ES"/>
    </w:rPr>
  </w:style>
  <w:style w:type="paragraph" w:styleId="Textonotapie">
    <w:name w:val="footnote text"/>
    <w:aliases w:val="Footnote Text Char Char Char Char Char,Footnote Text Char Char Char Char,Footnote reference,FA Fu,texto de nota al pie,Car,Footnote Text Char Char Char,Footnote Text Char Char Char Car Car Car,Ref. de nota al pie1,Texto de nota al pie,f"/>
    <w:basedOn w:val="Normal"/>
    <w:link w:val="TextonotapieCar1"/>
    <w:uiPriority w:val="99"/>
    <w:semiHidden/>
    <w:unhideWhenUsed/>
    <w:rPr>
      <w:rFonts w:ascii="Arial" w:hAnsi="Arial"/>
    </w:rPr>
  </w:style>
  <w:style w:type="character" w:customStyle="1" w:styleId="TextonotapieCar">
    <w:name w:val="Texto nota pie Car"/>
    <w:aliases w:val="Footnote Text Char Char Char Char Char Car1,Footnote Text Char Char Char Char Car2,Footnote reference Car2,FA Fu Car2,texto de nota al pie Car,Car Car,Footnote Text Char Char Char Car,Footnote Text Char Char Char Car Car Car Car,f Car"/>
    <w:semiHidden/>
    <w:rPr>
      <w:lang w:val="es-ES_tradnl" w:eastAsia="es-ES"/>
    </w:rPr>
  </w:style>
  <w:style w:type="paragraph" w:styleId="Encabezado">
    <w:name w:val="header"/>
    <w:basedOn w:val="Normal"/>
    <w:link w:val="EncabezadoCar"/>
    <w:uiPriority w:val="99"/>
    <w:semiHidden/>
    <w:unhideWhenUsed/>
    <w:pPr>
      <w:tabs>
        <w:tab w:val="center" w:pos="4252"/>
        <w:tab w:val="right" w:pos="8504"/>
      </w:tabs>
    </w:pPr>
  </w:style>
  <w:style w:type="character" w:customStyle="1" w:styleId="EncabezadoCar">
    <w:name w:val="Encabezado Car"/>
    <w:link w:val="Encabezado"/>
    <w:semiHidden/>
    <w:locked/>
    <w:rPr>
      <w:lang w:val="es-ES_tradnl" w:eastAsia="es-ES" w:bidi="ar-SA"/>
    </w:rPr>
  </w:style>
  <w:style w:type="paragraph" w:styleId="Piedepgina">
    <w:name w:val="footer"/>
    <w:basedOn w:val="Normal"/>
    <w:link w:val="PiedepginaCar"/>
    <w:uiPriority w:val="99"/>
    <w:semiHidden/>
    <w:unhideWhenUsed/>
    <w:pPr>
      <w:tabs>
        <w:tab w:val="center" w:pos="4252"/>
        <w:tab w:val="right" w:pos="8504"/>
      </w:tabs>
    </w:pPr>
  </w:style>
  <w:style w:type="character" w:customStyle="1" w:styleId="PiedepginaCar">
    <w:name w:val="Pie de página Car"/>
    <w:link w:val="Piedepgina"/>
    <w:uiPriority w:val="99"/>
    <w:semiHidden/>
    <w:locked/>
    <w:rPr>
      <w:lang w:val="es-ES_tradnl" w:eastAsia="es-ES" w:bidi="ar-SA"/>
    </w:rPr>
  </w:style>
  <w:style w:type="paragraph" w:styleId="Descripcin">
    <w:name w:val="caption"/>
    <w:aliases w:val="Epígrafe"/>
    <w:basedOn w:val="Normal"/>
    <w:next w:val="Normal"/>
    <w:uiPriority w:val="99"/>
    <w:semiHidden/>
    <w:unhideWhenUsed/>
    <w:qFormat/>
    <w:pPr>
      <w:jc w:val="center"/>
    </w:pPr>
    <w:rPr>
      <w:rFonts w:ascii="ShelleyVolante BT" w:hAnsi="ShelleyVolante BT"/>
      <w:b/>
      <w:bCs/>
      <w:sz w:val="28"/>
    </w:rPr>
  </w:style>
  <w:style w:type="paragraph" w:styleId="Puesto">
    <w:name w:val="Title"/>
    <w:basedOn w:val="Normal"/>
    <w:link w:val="PuestoCar"/>
    <w:uiPriority w:val="99"/>
    <w:qFormat/>
    <w:pPr>
      <w:tabs>
        <w:tab w:val="center" w:pos="4252"/>
        <w:tab w:val="right" w:pos="8504"/>
      </w:tabs>
      <w:spacing w:line="360" w:lineRule="auto"/>
      <w:jc w:val="center"/>
    </w:pPr>
    <w:rPr>
      <w:rFonts w:ascii="Arial" w:hAnsi="Arial"/>
      <w:b/>
      <w:lang w:val="es-ES"/>
    </w:rPr>
  </w:style>
  <w:style w:type="character" w:customStyle="1" w:styleId="PuestoCar">
    <w:name w:val="Puesto Car"/>
    <w:basedOn w:val="Fuentedeprrafopredeter"/>
    <w:link w:val="Puesto"/>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link w:val="Textoindependiente"/>
    <w:semiHidden/>
    <w:locked/>
    <w:rPr>
      <w:lang w:val="es-ES_tradnl" w:eastAsia="es-ES" w:bidi="ar-SA"/>
    </w:rPr>
  </w:style>
  <w:style w:type="paragraph" w:styleId="Sangradetextonormal">
    <w:name w:val="Body Text Indent"/>
    <w:basedOn w:val="Normal"/>
    <w:link w:val="SangradetextonormalCar"/>
    <w:uiPriority w:val="99"/>
    <w:semiHidden/>
    <w:unhideWhenUsed/>
    <w:pPr>
      <w:tabs>
        <w:tab w:val="left" w:pos="1200"/>
      </w:tabs>
      <w:spacing w:line="360" w:lineRule="auto"/>
      <w:ind w:firstLine="1136"/>
      <w:jc w:val="both"/>
    </w:pPr>
    <w:rPr>
      <w:rFonts w:ascii="Arial" w:hAnsi="Arial"/>
      <w:lang w:val="es-ES"/>
    </w:rPr>
  </w:style>
  <w:style w:type="character" w:customStyle="1" w:styleId="SangradetextonormalCar">
    <w:name w:val="Sangría de texto normal Car"/>
    <w:link w:val="Sangradetextonormal"/>
    <w:semiHidden/>
    <w:locked/>
    <w:rPr>
      <w:rFonts w:ascii="Arial" w:hAnsi="Arial" w:cs="Arial" w:hint="default"/>
      <w:sz w:val="24"/>
      <w:lang w:val="es-ES" w:eastAsia="es-ES" w:bidi="ar-SA"/>
    </w:rPr>
  </w:style>
  <w:style w:type="paragraph" w:styleId="Subttulo">
    <w:name w:val="Subtitle"/>
    <w:basedOn w:val="Normal"/>
    <w:next w:val="Normal"/>
    <w:link w:val="SubttuloCar"/>
    <w:uiPriority w:val="99"/>
    <w:qFormat/>
    <w:pPr>
      <w:spacing w:after="60"/>
      <w:jc w:val="center"/>
      <w:outlineLvl w:val="1"/>
    </w:pPr>
    <w:rPr>
      <w:rFonts w:ascii="Calibri Light" w:hAnsi="Calibri Light"/>
    </w:rPr>
  </w:style>
  <w:style w:type="character" w:customStyle="1" w:styleId="SubttuloCar">
    <w:name w:val="Subtítulo Car"/>
    <w:link w:val="Subttulo"/>
    <w:locked/>
    <w:rPr>
      <w:rFonts w:ascii="Calibri Light" w:eastAsia="Times New Roman" w:hAnsi="Calibri Light" w:cs="Times New Roman" w:hint="default"/>
      <w:sz w:val="24"/>
      <w:szCs w:val="24"/>
      <w:lang w:val="es-ES" w:eastAsia="es-ES"/>
    </w:rPr>
  </w:style>
  <w:style w:type="paragraph" w:styleId="Textoindependienteprimerasangra">
    <w:name w:val="Body Text First Indent"/>
    <w:basedOn w:val="Textoindependiente"/>
    <w:link w:val="TextoindependienteprimerasangraCar"/>
    <w:uiPriority w:val="99"/>
    <w:pPr>
      <w:ind w:firstLine="210"/>
    </w:pPr>
    <w:rPr>
      <w:sz w:val="20"/>
      <w:szCs w:val="20"/>
      <w:lang w:val="es-ES" w:eastAsia="es-ES"/>
    </w:rPr>
  </w:style>
  <w:style w:type="character" w:customStyle="1" w:styleId="TextoindependienteprimerasangraCar">
    <w:name w:val="Texto independiente primera sangría Car"/>
    <w:link w:val="Textoindependienteprimerasangra"/>
    <w:locked/>
    <w:rPr>
      <w:lang w:val="es-ES" w:eastAsia="es-ES" w:bidi="ar-SA"/>
    </w:rPr>
  </w:style>
  <w:style w:type="paragraph" w:styleId="Textoindependiente2">
    <w:name w:val="Body Text 2"/>
    <w:basedOn w:val="Normal"/>
    <w:link w:val="Textoindependiente2Car"/>
    <w:uiPriority w:val="99"/>
    <w:semiHidden/>
    <w:unhideWhenUsed/>
    <w:pPr>
      <w:spacing w:after="120" w:line="480" w:lineRule="auto"/>
    </w:pPr>
  </w:style>
  <w:style w:type="character" w:customStyle="1" w:styleId="Textoindependiente2Car">
    <w:name w:val="Texto independiente 2 Car"/>
    <w:link w:val="Textoindependiente2"/>
    <w:semiHidden/>
    <w:locked/>
    <w:rPr>
      <w:lang w:val="es-ES_tradnl" w:eastAsia="es-ES"/>
    </w:rPr>
  </w:style>
  <w:style w:type="paragraph" w:styleId="Textoindependiente3">
    <w:name w:val="Body Text 3"/>
    <w:basedOn w:val="Normal"/>
    <w:link w:val="Textoindependiente3Car"/>
    <w:uiPriority w:val="99"/>
    <w:semiHidden/>
    <w:unhideWhenUsed/>
    <w:pPr>
      <w:spacing w:after="120"/>
    </w:pPr>
    <w:rPr>
      <w:sz w:val="16"/>
      <w:szCs w:val="16"/>
      <w:lang w:val="es-ES"/>
    </w:rPr>
  </w:style>
  <w:style w:type="character" w:customStyle="1" w:styleId="Textoindependiente3Car">
    <w:name w:val="Texto independiente 3 Car"/>
    <w:link w:val="Textoindependiente3"/>
    <w:semiHidden/>
    <w:locked/>
    <w:rPr>
      <w:sz w:val="16"/>
      <w:szCs w:val="16"/>
      <w:lang w:val="es-ES" w:eastAsia="es-ES"/>
    </w:rPr>
  </w:style>
  <w:style w:type="paragraph" w:styleId="Sangra2detindependiente">
    <w:name w:val="Body Text Indent 2"/>
    <w:basedOn w:val="Normal"/>
    <w:link w:val="Sangra2detindependienteCar"/>
    <w:uiPriority w:val="99"/>
    <w:semiHidden/>
    <w:unhideWhenUsed/>
    <w:pPr>
      <w:spacing w:after="120" w:line="480" w:lineRule="auto"/>
      <w:ind w:left="283"/>
    </w:pPr>
    <w:rPr>
      <w:rFonts w:ascii="Calibri" w:hAnsi="Calibri"/>
      <w:sz w:val="22"/>
      <w:szCs w:val="22"/>
      <w:lang w:val="x-none" w:eastAsia="x-none"/>
    </w:rPr>
  </w:style>
  <w:style w:type="character" w:customStyle="1" w:styleId="Sangra2detindependienteCar">
    <w:name w:val="Sangría 2 de t. independiente Car"/>
    <w:link w:val="Sangra2detindependiente"/>
    <w:uiPriority w:val="99"/>
    <w:semiHidden/>
    <w:locked/>
    <w:rPr>
      <w:rFonts w:ascii="Calibri" w:hAnsi="Calibri" w:hint="default"/>
      <w:sz w:val="22"/>
      <w:szCs w:val="22"/>
      <w:lang w:val="x-none" w:eastAsia="x-none"/>
    </w:rPr>
  </w:style>
  <w:style w:type="paragraph" w:styleId="Sangra3detindependiente">
    <w:name w:val="Body Text Indent 3"/>
    <w:basedOn w:val="Normal"/>
    <w:link w:val="Sangra3detindependienteCar"/>
    <w:uiPriority w:val="99"/>
    <w:semiHidden/>
    <w:unhideWhenUsed/>
    <w:pPr>
      <w:tabs>
        <w:tab w:val="left" w:pos="1080"/>
      </w:tabs>
      <w:spacing w:line="360" w:lineRule="auto"/>
      <w:ind w:firstLine="1100"/>
      <w:jc w:val="both"/>
    </w:pPr>
    <w:rPr>
      <w:rFonts w:ascii="Arial" w:hAnsi="Arial"/>
      <w:lang w:val="es-ES"/>
    </w:rPr>
  </w:style>
  <w:style w:type="character" w:customStyle="1" w:styleId="Sangra3detindependienteCar">
    <w:name w:val="Sangría 3 de t. independiente Car"/>
    <w:link w:val="Sangra3detindependiente"/>
    <w:semiHidden/>
    <w:locked/>
    <w:rPr>
      <w:rFonts w:ascii="Arial" w:hAnsi="Arial" w:cs="Arial" w:hint="default"/>
      <w:sz w:val="24"/>
      <w:lang w:val="es-ES" w:eastAsia="es-ES" w:bidi="ar-SA"/>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semiHidden/>
    <w:locked/>
    <w:rPr>
      <w:rFonts w:ascii="Tahoma" w:hAnsi="Tahoma" w:cs="Tahoma" w:hint="default"/>
      <w:sz w:val="16"/>
      <w:szCs w:val="16"/>
      <w:lang w:val="es-ES_tradnl" w:eastAsia="es-ES"/>
    </w:rPr>
  </w:style>
  <w:style w:type="paragraph" w:styleId="Sinespaciado">
    <w:name w:val="No Spacing"/>
    <w:uiPriority w:val="1"/>
    <w:qFormat/>
    <w:rPr>
      <w:rFonts w:ascii="Calibri" w:hAnsi="Calibri"/>
      <w:sz w:val="22"/>
      <w:szCs w:val="22"/>
      <w:lang w:eastAsia="en-US"/>
    </w:rPr>
  </w:style>
  <w:style w:type="paragraph" w:styleId="Prrafodelista">
    <w:name w:val="List Paragraph"/>
    <w:basedOn w:val="Normal"/>
    <w:uiPriority w:val="34"/>
    <w:qFormat/>
    <w:pPr>
      <w:ind w:left="720"/>
      <w:contextualSpacing/>
    </w:pPr>
    <w:rPr>
      <w:sz w:val="20"/>
      <w:szCs w:val="20"/>
      <w:lang w:val="es-ES" w:eastAsia="es-ES"/>
    </w:rPr>
  </w:style>
  <w:style w:type="paragraph" w:customStyle="1" w:styleId="Estilo">
    <w:name w:val="Estilo"/>
    <w:basedOn w:val="Normal"/>
    <w:uiPriority w:val="99"/>
    <w:pPr>
      <w:spacing w:after="160" w:line="240" w:lineRule="exact"/>
    </w:pPr>
    <w:rPr>
      <w:noProof/>
      <w:color w:val="000000"/>
    </w:rPr>
  </w:style>
  <w:style w:type="paragraph" w:customStyle="1" w:styleId="Style11">
    <w:name w:val="Style11"/>
    <w:basedOn w:val="Normal"/>
    <w:uiPriority w:val="99"/>
    <w:pPr>
      <w:widowControl w:val="0"/>
      <w:autoSpaceDE w:val="0"/>
      <w:autoSpaceDN w:val="0"/>
      <w:adjustRightInd w:val="0"/>
      <w:spacing w:line="494" w:lineRule="exact"/>
      <w:ind w:firstLine="874"/>
      <w:jc w:val="both"/>
    </w:pPr>
    <w:rPr>
      <w:rFonts w:ascii="Bookman Old Style" w:hAnsi="Bookman Old Style"/>
    </w:rPr>
  </w:style>
  <w:style w:type="paragraph" w:customStyle="1" w:styleId="Style12">
    <w:name w:val="Style12"/>
    <w:basedOn w:val="Normal"/>
    <w:uiPriority w:val="99"/>
    <w:pPr>
      <w:widowControl w:val="0"/>
      <w:autoSpaceDE w:val="0"/>
      <w:autoSpaceDN w:val="0"/>
      <w:adjustRightInd w:val="0"/>
      <w:spacing w:line="324" w:lineRule="exact"/>
      <w:jc w:val="both"/>
    </w:pPr>
    <w:rPr>
      <w:rFonts w:ascii="Bookman Old Style" w:hAnsi="Bookman Old Style"/>
    </w:rPr>
  </w:style>
  <w:style w:type="paragraph" w:customStyle="1" w:styleId="Style15">
    <w:name w:val="Style15"/>
    <w:basedOn w:val="Normal"/>
    <w:uiPriority w:val="99"/>
    <w:pPr>
      <w:widowControl w:val="0"/>
      <w:autoSpaceDE w:val="0"/>
      <w:autoSpaceDN w:val="0"/>
      <w:adjustRightInd w:val="0"/>
      <w:spacing w:line="218" w:lineRule="exact"/>
      <w:jc w:val="both"/>
    </w:pPr>
    <w:rPr>
      <w:rFonts w:ascii="Bookman Old Style" w:hAnsi="Bookman Old Style"/>
    </w:rPr>
  </w:style>
  <w:style w:type="character" w:styleId="Refdenotaalpie">
    <w:name w:val="footnote reference"/>
    <w:aliases w:val="FC,referencia nota al pie,Ref. de nota al pie 2,Appel note de bas de page,Footnotes refss,Footnote number,BVI fnr,Fago Fußnotenzeichen,4_G,16 Point,Superscript 6 Point,Ref,de nota al pie,Footnote symbol,Footnote"/>
    <w:semiHidden/>
    <w:unhideWhenUsed/>
    <w:rPr>
      <w:vertAlign w:val="superscript"/>
    </w:rPr>
  </w:style>
  <w:style w:type="character" w:styleId="nfasissutil">
    <w:name w:val="Subtle Emphasis"/>
    <w:uiPriority w:val="19"/>
    <w:qFormat/>
    <w:rPr>
      <w:i/>
      <w:iCs/>
      <w:color w:val="808080"/>
    </w:rPr>
  </w:style>
  <w:style w:type="paragraph" w:customStyle="1" w:styleId="Ttulo">
    <w:name w:val="Título"/>
    <w:basedOn w:val="Normal"/>
    <w:link w:val="TtuloCar"/>
  </w:style>
  <w:style w:type="character" w:customStyle="1" w:styleId="TtuloCar">
    <w:name w:val="Título Car"/>
    <w:link w:val="Ttulo"/>
    <w:locked/>
    <w:rPr>
      <w:rFonts w:ascii="Arial" w:hAnsi="Arial" w:cs="Arial" w:hint="default"/>
      <w:b/>
      <w:bCs w:val="0"/>
      <w:sz w:val="24"/>
      <w:lang w:val="es-ES" w:eastAsia="es-ES" w:bidi="ar-SA"/>
    </w:rPr>
  </w:style>
  <w:style w:type="character" w:customStyle="1" w:styleId="baj1">
    <w:name w:val="b_aj1"/>
    <w:rPr>
      <w:b/>
      <w:bCs/>
      <w:color w:val="000000"/>
    </w:rPr>
  </w:style>
  <w:style w:type="character" w:customStyle="1" w:styleId="apple-converted-space">
    <w:name w:val="apple-converted-space"/>
  </w:style>
  <w:style w:type="character" w:customStyle="1" w:styleId="baj">
    <w:name w:val="b_aj"/>
  </w:style>
  <w:style w:type="character" w:customStyle="1" w:styleId="FontStyle25">
    <w:name w:val="Font Style25"/>
    <w:uiPriority w:val="99"/>
    <w:rPr>
      <w:rFonts w:ascii="Bookman Old Style" w:hAnsi="Bookman Old Style" w:cs="Bookman Old Style" w:hint="default"/>
      <w:sz w:val="28"/>
      <w:szCs w:val="28"/>
    </w:rPr>
  </w:style>
  <w:style w:type="character" w:customStyle="1" w:styleId="FontStyle28">
    <w:name w:val="Font Style28"/>
    <w:uiPriority w:val="99"/>
    <w:rPr>
      <w:rFonts w:ascii="Bookman Old Style" w:hAnsi="Bookman Old Style" w:cs="Bookman Old Style" w:hint="default"/>
      <w:i/>
      <w:iCs/>
      <w:sz w:val="28"/>
      <w:szCs w:val="28"/>
    </w:rPr>
  </w:style>
  <w:style w:type="character" w:customStyle="1" w:styleId="FontStyle27">
    <w:name w:val="Font Style27"/>
    <w:uiPriority w:val="99"/>
    <w:rPr>
      <w:rFonts w:ascii="Georgia" w:hAnsi="Georgia" w:cs="Georgia" w:hint="default"/>
      <w:b/>
      <w:bCs/>
      <w:sz w:val="20"/>
      <w:szCs w:val="20"/>
    </w:rPr>
  </w:style>
  <w:style w:type="character" w:customStyle="1" w:styleId="FontStyle29">
    <w:name w:val="Font Style29"/>
    <w:uiPriority w:val="99"/>
    <w:rPr>
      <w:rFonts w:ascii="Bookman Old Style" w:hAnsi="Bookman Old Style" w:cs="Bookman Old Style" w:hint="default"/>
      <w:i/>
      <w:iCs/>
      <w:sz w:val="24"/>
      <w:szCs w:val="24"/>
    </w:rPr>
  </w:style>
  <w:style w:type="character" w:customStyle="1" w:styleId="FontStyle30">
    <w:name w:val="Font Style30"/>
    <w:uiPriority w:val="99"/>
    <w:rPr>
      <w:rFonts w:ascii="Bookman Old Style" w:hAnsi="Bookman Old Style" w:cs="Bookman Old Style" w:hint="default"/>
      <w:sz w:val="18"/>
      <w:szCs w:val="18"/>
    </w:rPr>
  </w:style>
  <w:style w:type="character" w:customStyle="1" w:styleId="FontStyle31">
    <w:name w:val="Font Style31"/>
    <w:uiPriority w:val="99"/>
    <w:rPr>
      <w:rFonts w:ascii="Bookman Old Style" w:hAnsi="Bookman Old Style" w:cs="Bookman Old Style" w:hint="default"/>
      <w:b/>
      <w:bCs/>
      <w:sz w:val="12"/>
      <w:szCs w:val="12"/>
    </w:rPr>
  </w:style>
  <w:style w:type="character" w:customStyle="1" w:styleId="FontStyle34">
    <w:name w:val="Font Style34"/>
    <w:uiPriority w:val="99"/>
    <w:rPr>
      <w:rFonts w:ascii="Bookman Old Style" w:hAnsi="Bookman Old Style" w:cs="Bookman Old Style"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8578">
      <w:marLeft w:val="0"/>
      <w:marRight w:val="0"/>
      <w:marTop w:val="0"/>
      <w:marBottom w:val="0"/>
      <w:divBdr>
        <w:top w:val="none" w:sz="0" w:space="0" w:color="auto"/>
        <w:left w:val="none" w:sz="0" w:space="0" w:color="auto"/>
        <w:bottom w:val="none" w:sz="0" w:space="0" w:color="auto"/>
        <w:right w:val="none" w:sz="0" w:space="0" w:color="auto"/>
      </w:divBdr>
      <w:divsChild>
        <w:div w:id="1926962744">
          <w:marLeft w:val="0"/>
          <w:marRight w:val="0"/>
          <w:marTop w:val="0"/>
          <w:marBottom w:val="0"/>
          <w:divBdr>
            <w:top w:val="none" w:sz="0" w:space="0" w:color="auto"/>
            <w:left w:val="none" w:sz="0" w:space="0" w:color="auto"/>
            <w:bottom w:val="none" w:sz="0" w:space="0" w:color="auto"/>
            <w:right w:val="none" w:sz="0" w:space="0" w:color="auto"/>
          </w:divBdr>
          <w:divsChild>
            <w:div w:id="14840039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1268</Words>
  <Characters>6976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CORTE SUPREMA DE JUSTICIA</vt:lpstr>
    </vt:vector>
  </TitlesOfParts>
  <Company>CSJ</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SUPREMA DE JUSTICIA</dc:title>
  <dc:subject/>
  <dc:creator>juanmp</dc:creator>
  <cp:keywords/>
  <dc:description/>
  <cp:lastModifiedBy>GOFER</cp:lastModifiedBy>
  <cp:revision>2</cp:revision>
  <cp:lastPrinted>2016-04-22T22:10:00Z</cp:lastPrinted>
  <dcterms:created xsi:type="dcterms:W3CDTF">2016-08-03T05:17:00Z</dcterms:created>
  <dcterms:modified xsi:type="dcterms:W3CDTF">2016-08-03T05:17:00Z</dcterms:modified>
</cp:coreProperties>
</file>